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9C" w:rsidRDefault="0010549C" w:rsidP="0010549C">
      <w:pPr>
        <w:snapToGrid w:val="0"/>
        <w:spacing w:line="560" w:lineRule="exact"/>
        <w:jc w:val="left"/>
        <w:rPr>
          <w:rFonts w:ascii="仿宋_GB2312"/>
          <w:kern w:val="0"/>
          <w:szCs w:val="32"/>
        </w:rPr>
      </w:pPr>
      <w:r>
        <w:rPr>
          <w:rFonts w:ascii="仿宋_GB2312" w:hint="eastAsia"/>
          <w:kern w:val="0"/>
          <w:szCs w:val="32"/>
        </w:rPr>
        <w:t>附件</w:t>
      </w:r>
    </w:p>
    <w:p w:rsidR="0010549C" w:rsidRDefault="0010549C" w:rsidP="0010549C">
      <w:pPr>
        <w:snapToGrid w:val="0"/>
        <w:spacing w:line="560" w:lineRule="exact"/>
        <w:jc w:val="left"/>
        <w:rPr>
          <w:rFonts w:ascii="仿宋_GB2312"/>
          <w:kern w:val="0"/>
          <w:szCs w:val="32"/>
        </w:rPr>
      </w:pPr>
    </w:p>
    <w:p w:rsidR="0010549C" w:rsidRDefault="0010549C" w:rsidP="0010549C">
      <w:pPr>
        <w:pStyle w:val="1"/>
        <w:keepNext w:val="0"/>
        <w:keepLines w:val="0"/>
        <w:snapToGrid w:val="0"/>
        <w:spacing w:before="0" w:after="0" w:line="560" w:lineRule="exact"/>
        <w:ind w:firstLine="883"/>
        <w:jc w:val="center"/>
        <w:rPr>
          <w:kern w:val="0"/>
        </w:rPr>
      </w:pPr>
      <w:r>
        <w:rPr>
          <w:rFonts w:hint="eastAsia"/>
          <w:kern w:val="0"/>
        </w:rPr>
        <w:t>境外金融机构开展人民币购售业务</w:t>
      </w:r>
    </w:p>
    <w:p w:rsidR="0010549C" w:rsidRDefault="0010549C" w:rsidP="0010549C">
      <w:pPr>
        <w:pStyle w:val="1"/>
        <w:keepNext w:val="0"/>
        <w:keepLines w:val="0"/>
        <w:snapToGrid w:val="0"/>
        <w:spacing w:before="0" w:after="0" w:line="560" w:lineRule="exact"/>
        <w:ind w:firstLine="883"/>
        <w:jc w:val="center"/>
        <w:rPr>
          <w:kern w:val="0"/>
        </w:rPr>
      </w:pPr>
      <w:r>
        <w:rPr>
          <w:rFonts w:hint="eastAsia"/>
          <w:kern w:val="0"/>
        </w:rPr>
        <w:t>交纳外汇风险准备金业务指南</w:t>
      </w:r>
    </w:p>
    <w:p w:rsidR="0010549C" w:rsidRDefault="0010549C" w:rsidP="0010549C">
      <w:pPr>
        <w:pStyle w:val="1"/>
        <w:keepNext w:val="0"/>
        <w:keepLines w:val="0"/>
        <w:snapToGrid w:val="0"/>
        <w:spacing w:before="0" w:after="0" w:line="560" w:lineRule="exact"/>
        <w:ind w:firstLineChars="200" w:firstLine="600"/>
        <w:rPr>
          <w:rFonts w:ascii="仿宋_GB2312" w:eastAsia="仿宋_GB2312" w:hAnsi="Times New Roman"/>
          <w:b w:val="0"/>
          <w:kern w:val="0"/>
          <w:sz w:val="30"/>
          <w:szCs w:val="30"/>
        </w:rPr>
      </w:pPr>
      <w:bookmarkStart w:id="0" w:name="_Toc434409016"/>
    </w:p>
    <w:p w:rsidR="0010549C" w:rsidRDefault="0010549C" w:rsidP="0010549C">
      <w:pPr>
        <w:pStyle w:val="1"/>
        <w:keepNext w:val="0"/>
        <w:keepLines w:val="0"/>
        <w:snapToGrid w:val="0"/>
        <w:spacing w:before="0" w:after="0" w:line="560" w:lineRule="exact"/>
        <w:ind w:firstLineChars="200" w:firstLine="640"/>
        <w:rPr>
          <w:rFonts w:ascii="仿宋_GB2312" w:eastAsia="仿宋_GB2312" w:hAnsi="Times New Roman"/>
          <w:b w:val="0"/>
          <w:kern w:val="0"/>
          <w:sz w:val="32"/>
          <w:szCs w:val="32"/>
        </w:rPr>
      </w:pPr>
      <w:r>
        <w:rPr>
          <w:rFonts w:ascii="仿宋_GB2312" w:eastAsia="仿宋_GB2312" w:hAnsi="Times New Roman" w:hint="eastAsia"/>
          <w:b w:val="0"/>
          <w:kern w:val="0"/>
          <w:sz w:val="32"/>
          <w:szCs w:val="32"/>
        </w:rPr>
        <w:t>根据《中国人民银行办公厅关于加强境外金融机构进入银行间外汇市场开展人民币购售业务宏观审慎管理有关事项的通知》（银办发〔2016〕143号）和《关于加强境外金融机构进入银行间外汇市场开展人民币购售业务宏观审慎管理有关事项的通知》（中汇交发〔2016〕294号），为完善宏观审慎管理,自2016年8月1</w:t>
      </w:r>
      <w:bookmarkStart w:id="1" w:name="OLE_LINK11"/>
      <w:bookmarkStart w:id="2" w:name="OLE_LINK10"/>
      <w:r>
        <w:rPr>
          <w:rFonts w:ascii="仿宋_GB2312" w:eastAsia="仿宋_GB2312" w:hAnsi="Times New Roman" w:hint="eastAsia"/>
          <w:b w:val="0"/>
          <w:kern w:val="0"/>
          <w:sz w:val="32"/>
          <w:szCs w:val="32"/>
        </w:rPr>
        <w:t>5日起境外金融机构在境外与其客户开展远期卖汇业务产生的头寸在银行间外汇市场平盘</w:t>
      </w:r>
      <w:bookmarkEnd w:id="1"/>
      <w:bookmarkEnd w:id="2"/>
      <w:r>
        <w:rPr>
          <w:rFonts w:ascii="仿宋_GB2312" w:eastAsia="仿宋_GB2312" w:hAnsi="Times New Roman" w:hint="eastAsia"/>
          <w:b w:val="0"/>
          <w:kern w:val="0"/>
          <w:sz w:val="32"/>
          <w:szCs w:val="32"/>
        </w:rPr>
        <w:t>后，按月对其上一月平盘额交纳外汇风险准备金。中国外汇交易中心（以下简称“交易中心”）负责外汇风险准备金的收取、退还及考核等日常管理。</w:t>
      </w:r>
    </w:p>
    <w:p w:rsidR="0010549C" w:rsidRDefault="0010549C" w:rsidP="0010549C">
      <w:pPr>
        <w:pStyle w:val="1"/>
        <w:keepNext w:val="0"/>
        <w:keepLines w:val="0"/>
        <w:snapToGrid w:val="0"/>
        <w:spacing w:before="0" w:after="0" w:line="560" w:lineRule="exact"/>
        <w:ind w:firstLineChars="200" w:firstLine="643"/>
        <w:rPr>
          <w:rFonts w:ascii="黑体" w:eastAsia="黑体" w:hAnsi="黑体"/>
          <w:kern w:val="0"/>
          <w:sz w:val="32"/>
          <w:szCs w:val="32"/>
        </w:rPr>
      </w:pPr>
      <w:r>
        <w:rPr>
          <w:rFonts w:ascii="黑体" w:eastAsia="黑体" w:hAnsi="黑体" w:hint="eastAsia"/>
          <w:kern w:val="0"/>
          <w:sz w:val="32"/>
          <w:szCs w:val="32"/>
        </w:rPr>
        <w:t>一、外汇风险准备金交纳范围</w:t>
      </w:r>
    </w:p>
    <w:p w:rsidR="0010549C" w:rsidRDefault="0010549C" w:rsidP="0010549C">
      <w:pPr>
        <w:pStyle w:val="1"/>
        <w:keepNext w:val="0"/>
        <w:keepLines w:val="0"/>
        <w:snapToGrid w:val="0"/>
        <w:spacing w:before="0" w:after="0" w:line="560" w:lineRule="exact"/>
        <w:ind w:firstLineChars="200" w:firstLine="640"/>
        <w:rPr>
          <w:rFonts w:ascii="仿宋_GB2312" w:eastAsia="仿宋_GB2312" w:hAnsi="Times New Roman"/>
          <w:b w:val="0"/>
          <w:kern w:val="0"/>
          <w:sz w:val="32"/>
          <w:szCs w:val="32"/>
        </w:rPr>
      </w:pPr>
      <w:r>
        <w:rPr>
          <w:rFonts w:ascii="仿宋_GB2312" w:eastAsia="仿宋_GB2312" w:hAnsi="Times New Roman" w:hint="eastAsia"/>
          <w:b w:val="0"/>
          <w:kern w:val="0"/>
          <w:sz w:val="32"/>
          <w:szCs w:val="32"/>
        </w:rPr>
        <w:t>《</w:t>
      </w:r>
      <w:bookmarkStart w:id="3" w:name="OLE_LINK6"/>
      <w:bookmarkStart w:id="4" w:name="OLE_LINK5"/>
      <w:r>
        <w:rPr>
          <w:rFonts w:ascii="仿宋_GB2312" w:eastAsia="仿宋_GB2312" w:hAnsi="Times New Roman" w:hint="eastAsia"/>
          <w:b w:val="0"/>
          <w:kern w:val="0"/>
          <w:sz w:val="32"/>
          <w:szCs w:val="32"/>
        </w:rPr>
        <w:t>中国人民银行 国家外汇管理局公告</w:t>
      </w:r>
      <w:bookmarkEnd w:id="3"/>
      <w:bookmarkEnd w:id="4"/>
      <w:r>
        <w:rPr>
          <w:rFonts w:ascii="仿宋_GB2312" w:eastAsia="仿宋_GB2312" w:hAnsi="Times New Roman" w:hint="eastAsia"/>
          <w:b w:val="0"/>
          <w:kern w:val="0"/>
          <w:sz w:val="32"/>
          <w:szCs w:val="32"/>
        </w:rPr>
        <w:t>》（〔2015〕第40号）所规定可以进入银行间外汇市场进行交易的人民币购售业务</w:t>
      </w:r>
      <w:bookmarkStart w:id="5" w:name="OLE_LINK3"/>
      <w:bookmarkStart w:id="6" w:name="OLE_LINK2"/>
      <w:r>
        <w:rPr>
          <w:rFonts w:ascii="仿宋_GB2312" w:eastAsia="仿宋_GB2312" w:hAnsi="Times New Roman" w:hint="eastAsia"/>
          <w:b w:val="0"/>
          <w:kern w:val="0"/>
          <w:sz w:val="32"/>
          <w:szCs w:val="32"/>
        </w:rPr>
        <w:t>境外参加行，以及境外人民币业务清算行</w:t>
      </w:r>
      <w:bookmarkEnd w:id="5"/>
      <w:bookmarkEnd w:id="6"/>
      <w:r>
        <w:rPr>
          <w:rFonts w:ascii="仿宋_GB2312" w:eastAsia="仿宋_GB2312" w:hAnsi="Times New Roman" w:hint="eastAsia"/>
          <w:b w:val="0"/>
          <w:kern w:val="0"/>
          <w:sz w:val="32"/>
          <w:szCs w:val="32"/>
        </w:rPr>
        <w:t>（以下简称“境外金融机构”）需交纳风险准备金。</w:t>
      </w:r>
    </w:p>
    <w:p w:rsidR="0010549C" w:rsidRDefault="0010549C" w:rsidP="0010549C">
      <w:pPr>
        <w:pStyle w:val="1"/>
        <w:keepNext w:val="0"/>
        <w:keepLines w:val="0"/>
        <w:snapToGrid w:val="0"/>
        <w:spacing w:before="0" w:after="0" w:line="560" w:lineRule="exact"/>
        <w:ind w:firstLineChars="200" w:firstLine="640"/>
        <w:rPr>
          <w:rFonts w:ascii="仿宋_GB2312" w:eastAsia="仿宋_GB2312" w:hAnsi="Times New Roman"/>
          <w:b w:val="0"/>
          <w:kern w:val="0"/>
          <w:sz w:val="32"/>
          <w:szCs w:val="32"/>
        </w:rPr>
      </w:pPr>
      <w:r>
        <w:rPr>
          <w:rFonts w:ascii="仿宋_GB2312" w:eastAsia="仿宋_GB2312" w:hAnsi="Times New Roman" w:hint="eastAsia"/>
          <w:b w:val="0"/>
          <w:kern w:val="0"/>
          <w:sz w:val="32"/>
          <w:szCs w:val="32"/>
        </w:rPr>
        <w:t>境外金融机构因境外对客远期卖汇业务而在银行间外汇市场开展以下平盘行为应交纳外汇风险准备金：</w:t>
      </w:r>
    </w:p>
    <w:p w:rsidR="0010549C" w:rsidRDefault="0010549C" w:rsidP="0010549C">
      <w:pPr>
        <w:snapToGrid w:val="0"/>
        <w:spacing w:line="560" w:lineRule="exact"/>
        <w:ind w:firstLineChars="200" w:firstLine="640"/>
        <w:rPr>
          <w:rFonts w:ascii="仿宋_GB2312" w:cs="宋体"/>
          <w:bCs/>
          <w:color w:val="000000"/>
          <w:kern w:val="0"/>
          <w:szCs w:val="32"/>
        </w:rPr>
      </w:pPr>
      <w:r>
        <w:rPr>
          <w:rFonts w:ascii="仿宋_GB2312" w:cs="宋体" w:hint="eastAsia"/>
          <w:color w:val="000000"/>
          <w:kern w:val="0"/>
          <w:szCs w:val="32"/>
        </w:rPr>
        <w:t>（1）</w:t>
      </w:r>
      <w:r>
        <w:rPr>
          <w:rFonts w:ascii="仿宋_GB2312" w:cs="宋体" w:hint="eastAsia"/>
          <w:bCs/>
          <w:color w:val="000000"/>
          <w:kern w:val="0"/>
          <w:szCs w:val="32"/>
        </w:rPr>
        <w:t>远期购汇业务；</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bCs/>
          <w:color w:val="000000"/>
          <w:kern w:val="0"/>
          <w:szCs w:val="32"/>
        </w:rPr>
        <w:t>（2）买</w:t>
      </w:r>
      <w:r>
        <w:rPr>
          <w:rFonts w:ascii="仿宋_GB2312" w:cs="宋体" w:hint="eastAsia"/>
          <w:color w:val="000000"/>
          <w:kern w:val="0"/>
          <w:szCs w:val="32"/>
        </w:rPr>
        <w:t>入或卖出期权业务，以及包括多个期权的期权</w:t>
      </w:r>
      <w:r>
        <w:rPr>
          <w:rFonts w:ascii="仿宋_GB2312" w:cs="宋体" w:hint="eastAsia"/>
          <w:color w:val="000000"/>
          <w:kern w:val="0"/>
          <w:szCs w:val="32"/>
        </w:rPr>
        <w:lastRenderedPageBreak/>
        <w:t>组合业务；</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（3）在近端不交换本金，远端换入外汇的货币掉期业务；</w:t>
      </w:r>
    </w:p>
    <w:p w:rsidR="0010549C" w:rsidRDefault="0010549C" w:rsidP="0010549C">
      <w:pPr>
        <w:snapToGrid w:val="0"/>
        <w:spacing w:line="560" w:lineRule="exact"/>
        <w:ind w:firstLineChars="200" w:firstLine="640"/>
        <w:rPr>
          <w:rFonts w:ascii="仿宋_GB2312" w:cs="宋体"/>
          <w:b/>
          <w:bCs/>
          <w:color w:val="000000"/>
          <w:kern w:val="0"/>
          <w:szCs w:val="32"/>
        </w:rPr>
      </w:pPr>
      <w:r>
        <w:rPr>
          <w:rFonts w:ascii="仿宋_GB2312" w:cs="宋体" w:hint="eastAsia"/>
          <w:color w:val="000000"/>
          <w:kern w:val="0"/>
          <w:szCs w:val="32"/>
        </w:rPr>
        <w:t>（4）</w:t>
      </w:r>
      <w:r>
        <w:rPr>
          <w:rFonts w:ascii="仿宋_GB2312" w:hint="eastAsia"/>
          <w:kern w:val="0"/>
          <w:szCs w:val="32"/>
        </w:rPr>
        <w:t>其他远期购入外汇的业务。</w:t>
      </w:r>
    </w:p>
    <w:p w:rsidR="0010549C" w:rsidRDefault="0010549C" w:rsidP="0010549C">
      <w:pPr>
        <w:pStyle w:val="1"/>
        <w:keepNext w:val="0"/>
        <w:keepLines w:val="0"/>
        <w:snapToGrid w:val="0"/>
        <w:spacing w:before="0" w:after="0" w:line="560" w:lineRule="exact"/>
        <w:ind w:firstLineChars="200" w:firstLine="643"/>
        <w:rPr>
          <w:rFonts w:ascii="黑体" w:eastAsia="黑体" w:hAnsi="黑体"/>
          <w:kern w:val="0"/>
          <w:sz w:val="32"/>
          <w:szCs w:val="32"/>
        </w:rPr>
      </w:pPr>
      <w:r>
        <w:rPr>
          <w:rFonts w:ascii="黑体" w:eastAsia="黑体" w:hAnsi="黑体" w:hint="eastAsia"/>
          <w:kern w:val="0"/>
          <w:sz w:val="32"/>
          <w:szCs w:val="32"/>
        </w:rPr>
        <w:t>二、计算方法</w:t>
      </w:r>
    </w:p>
    <w:p w:rsidR="0010549C" w:rsidRDefault="0010549C" w:rsidP="0010549C">
      <w:pPr>
        <w:pStyle w:val="1"/>
        <w:keepNext w:val="0"/>
        <w:keepLines w:val="0"/>
        <w:snapToGrid w:val="0"/>
        <w:spacing w:before="0" w:after="0" w:line="560" w:lineRule="exact"/>
        <w:ind w:firstLineChars="200" w:firstLine="640"/>
        <w:rPr>
          <w:rFonts w:ascii="仿宋_GB2312" w:eastAsia="仿宋_GB2312" w:hAnsi="Times New Roman"/>
          <w:b w:val="0"/>
          <w:kern w:val="0"/>
          <w:sz w:val="32"/>
          <w:szCs w:val="32"/>
        </w:rPr>
      </w:pPr>
      <w:r>
        <w:rPr>
          <w:rFonts w:ascii="仿宋_GB2312" w:eastAsia="仿宋_GB2312" w:hAnsi="Times New Roman" w:hint="eastAsia"/>
          <w:b w:val="0"/>
          <w:kern w:val="0"/>
          <w:sz w:val="32"/>
          <w:szCs w:val="32"/>
        </w:rPr>
        <w:t>境外金融机构在境外与其客户开展远期卖汇业务产生的头寸在银行间外汇市场平盘后，按月以其上一月平盘额为外汇风险准备金交存基数计算应交存外汇风险准备金，准备金率为20%，准备金利率为零。</w:t>
      </w:r>
    </w:p>
    <w:p w:rsidR="0010549C" w:rsidRDefault="0010549C" w:rsidP="0010549C">
      <w:pPr>
        <w:pStyle w:val="1"/>
        <w:keepNext w:val="0"/>
        <w:keepLines w:val="0"/>
        <w:snapToGrid w:val="0"/>
        <w:spacing w:before="0" w:after="0" w:line="560" w:lineRule="exact"/>
        <w:ind w:firstLineChars="200" w:firstLine="640"/>
        <w:rPr>
          <w:rFonts w:ascii="仿宋_GB2312" w:eastAsia="仿宋_GB2312" w:hAnsi="Times New Roman"/>
          <w:b w:val="0"/>
          <w:kern w:val="0"/>
          <w:sz w:val="32"/>
          <w:szCs w:val="32"/>
        </w:rPr>
      </w:pPr>
      <w:r>
        <w:rPr>
          <w:rFonts w:ascii="仿宋_GB2312" w:eastAsia="仿宋_GB2312" w:hAnsi="Times New Roman" w:hint="eastAsia"/>
          <w:b w:val="0"/>
          <w:kern w:val="0"/>
          <w:sz w:val="32"/>
          <w:szCs w:val="32"/>
        </w:rPr>
        <w:t>除期权和期权组合业务按名义本金（期权组合采用名义本金最高的单笔期权）的二分之一外，其他业务均按名义本金的全额作为应交纳外汇风险准备金的计算基准。</w:t>
      </w:r>
    </w:p>
    <w:p w:rsidR="0010549C" w:rsidRDefault="0010549C" w:rsidP="0010549C">
      <w:pPr>
        <w:pStyle w:val="1"/>
        <w:keepNext w:val="0"/>
        <w:keepLines w:val="0"/>
        <w:snapToGrid w:val="0"/>
        <w:spacing w:before="0" w:after="0" w:line="560" w:lineRule="exact"/>
        <w:ind w:firstLineChars="200" w:firstLine="640"/>
        <w:rPr>
          <w:rFonts w:ascii="仿宋_GB2312" w:eastAsia="仿宋_GB2312" w:hAnsi="Times New Roman"/>
          <w:b w:val="0"/>
          <w:bCs w:val="0"/>
          <w:kern w:val="0"/>
          <w:sz w:val="32"/>
          <w:szCs w:val="32"/>
        </w:rPr>
      </w:pPr>
      <w:r>
        <w:rPr>
          <w:rFonts w:ascii="仿宋_GB2312" w:eastAsia="仿宋_GB2312" w:hAnsi="Times New Roman" w:hint="eastAsia"/>
          <w:b w:val="0"/>
          <w:bCs w:val="0"/>
          <w:kern w:val="0"/>
          <w:sz w:val="32"/>
          <w:szCs w:val="32"/>
        </w:rPr>
        <w:t>外汇风险准备金以美元计算，非美元货币应统一折算为美元。折算率按每月</w:t>
      </w:r>
      <w:bookmarkStart w:id="7" w:name="OLE_LINK4"/>
      <w:bookmarkStart w:id="8" w:name="OLE_LINK1"/>
      <w:r>
        <w:rPr>
          <w:rFonts w:ascii="仿宋_GB2312" w:eastAsia="仿宋_GB2312" w:hAnsi="Times New Roman" w:hint="eastAsia"/>
          <w:b w:val="0"/>
          <w:bCs w:val="0"/>
          <w:kern w:val="0"/>
          <w:sz w:val="32"/>
          <w:szCs w:val="32"/>
        </w:rPr>
        <w:t>国家外汇管理局公布的《各种货币对美元折算率》</w:t>
      </w:r>
      <w:bookmarkEnd w:id="7"/>
      <w:bookmarkEnd w:id="8"/>
      <w:r>
        <w:rPr>
          <w:rFonts w:ascii="仿宋_GB2312" w:eastAsia="仿宋_GB2312" w:hAnsi="Times New Roman" w:hint="eastAsia"/>
          <w:b w:val="0"/>
          <w:bCs w:val="0"/>
          <w:kern w:val="0"/>
          <w:sz w:val="32"/>
          <w:szCs w:val="32"/>
        </w:rPr>
        <w:t>计算。未公布折算率的，参照国家外汇管理局确定各种货币对美元折算率的方法计算。</w:t>
      </w:r>
    </w:p>
    <w:p w:rsidR="0010549C" w:rsidRDefault="0010549C" w:rsidP="0010549C">
      <w:pPr>
        <w:pStyle w:val="1"/>
        <w:keepNext w:val="0"/>
        <w:keepLines w:val="0"/>
        <w:snapToGrid w:val="0"/>
        <w:spacing w:before="0" w:after="0" w:line="560" w:lineRule="exact"/>
        <w:ind w:firstLineChars="200" w:firstLine="643"/>
        <w:rPr>
          <w:rFonts w:ascii="黑体" w:eastAsia="黑体" w:hAnsi="黑体"/>
          <w:kern w:val="0"/>
          <w:sz w:val="32"/>
          <w:szCs w:val="32"/>
        </w:rPr>
      </w:pPr>
      <w:r>
        <w:rPr>
          <w:rFonts w:ascii="黑体" w:eastAsia="黑体" w:hAnsi="黑体" w:hint="eastAsia"/>
          <w:kern w:val="0"/>
          <w:sz w:val="32"/>
          <w:szCs w:val="32"/>
        </w:rPr>
        <w:t>三、专用账户</w:t>
      </w:r>
    </w:p>
    <w:p w:rsidR="0010549C" w:rsidRDefault="0010549C" w:rsidP="0010549C">
      <w:pPr>
        <w:pStyle w:val="1"/>
        <w:keepNext w:val="0"/>
        <w:keepLines w:val="0"/>
        <w:snapToGrid w:val="0"/>
        <w:spacing w:before="0" w:after="0" w:line="560" w:lineRule="exact"/>
        <w:ind w:firstLineChars="200" w:firstLine="640"/>
        <w:rPr>
          <w:rFonts w:ascii="仿宋_GB2312" w:eastAsia="仿宋_GB2312" w:hAnsi="Times New Roman"/>
          <w:b w:val="0"/>
          <w:kern w:val="0"/>
          <w:sz w:val="32"/>
          <w:szCs w:val="32"/>
        </w:rPr>
      </w:pPr>
      <w:r>
        <w:rPr>
          <w:rFonts w:ascii="仿宋_GB2312" w:eastAsia="仿宋_GB2312" w:hAnsi="Times New Roman" w:hint="eastAsia"/>
          <w:b w:val="0"/>
          <w:kern w:val="0"/>
          <w:sz w:val="32"/>
          <w:szCs w:val="32"/>
        </w:rPr>
        <w:t>外汇风险准备金存入交易中心开立的专用账户。</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户名：中国外汇交易中心</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开户行：中国银行上海市分行营业部</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账号：433871773897</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交易中心SWIFT BIC：PBOCCNSFCFX</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开户行SWIFT BIC：BKCHCNBJ300</w:t>
      </w:r>
    </w:p>
    <w:p w:rsidR="0010549C" w:rsidRDefault="0010549C" w:rsidP="0010549C">
      <w:pPr>
        <w:pStyle w:val="1"/>
        <w:keepNext w:val="0"/>
        <w:keepLines w:val="0"/>
        <w:snapToGrid w:val="0"/>
        <w:spacing w:before="0" w:after="0" w:line="560" w:lineRule="exact"/>
        <w:ind w:firstLineChars="200" w:firstLine="643"/>
        <w:rPr>
          <w:rFonts w:ascii="黑体" w:eastAsia="黑体" w:hAnsi="黑体"/>
          <w:kern w:val="0"/>
          <w:sz w:val="32"/>
          <w:szCs w:val="32"/>
        </w:rPr>
      </w:pPr>
      <w:bookmarkStart w:id="9" w:name="OLE_LINK13"/>
      <w:bookmarkStart w:id="10" w:name="OLE_LINK12"/>
      <w:r>
        <w:rPr>
          <w:rFonts w:ascii="黑体" w:eastAsia="黑体" w:hAnsi="黑体" w:hint="eastAsia"/>
          <w:kern w:val="0"/>
          <w:sz w:val="32"/>
          <w:szCs w:val="32"/>
        </w:rPr>
        <w:t>四、信息报送</w:t>
      </w:r>
    </w:p>
    <w:p w:rsidR="0010549C" w:rsidRDefault="0010549C" w:rsidP="0010549C">
      <w:pPr>
        <w:snapToGrid w:val="0"/>
        <w:spacing w:line="560" w:lineRule="exact"/>
        <w:ind w:firstLineChars="200" w:firstLine="640"/>
        <w:rPr>
          <w:rFonts w:ascii="仿宋_GB2312" w:cs="宋体"/>
          <w:color w:val="000000"/>
          <w:kern w:val="0"/>
          <w:szCs w:val="32"/>
        </w:rPr>
      </w:pPr>
      <w:bookmarkStart w:id="11" w:name="OLE_LINK15"/>
      <w:bookmarkStart w:id="12" w:name="OLE_LINK14"/>
      <w:bookmarkEnd w:id="0"/>
      <w:r>
        <w:rPr>
          <w:rFonts w:ascii="仿宋_GB2312" w:cs="宋体" w:hint="eastAsia"/>
          <w:color w:val="000000"/>
          <w:kern w:val="0"/>
          <w:szCs w:val="32"/>
        </w:rPr>
        <w:lastRenderedPageBreak/>
        <w:t>1、</w:t>
      </w:r>
      <w:r>
        <w:rPr>
          <w:rFonts w:ascii="仿宋_GB2312" w:cs="宋体" w:hint="eastAsia"/>
          <w:b/>
          <w:color w:val="000000"/>
          <w:kern w:val="0"/>
          <w:szCs w:val="32"/>
        </w:rPr>
        <w:t>信息填报。</w:t>
      </w:r>
      <w:r>
        <w:rPr>
          <w:rFonts w:ascii="仿宋_GB2312" w:cs="宋体" w:hint="eastAsia"/>
          <w:color w:val="000000"/>
          <w:kern w:val="0"/>
          <w:szCs w:val="32"/>
        </w:rPr>
        <w:t>交易日收市后，交易中心交易后处理平台信息报送界面根据境外金融机构当日交易明细显示当日外汇风险准备金交存基数，境外金融机构应就当日交易明细的代客与自营性质进行逐笔填报并进行保存操作，以此确定当日外汇风险准备金交存基数。境外金融机构应于交易日下一工作日上午9:30前，在信息报送界面完成上述操作。</w:t>
      </w:r>
    </w:p>
    <w:p w:rsidR="0010549C" w:rsidRDefault="0010549C" w:rsidP="0010549C">
      <w:pPr>
        <w:snapToGrid w:val="0"/>
        <w:spacing w:line="560" w:lineRule="exact"/>
        <w:ind w:firstLineChars="200" w:firstLine="640"/>
        <w:rPr>
          <w:rFonts w:ascii="仿宋_GB2312" w:cs="宋体"/>
          <w:color w:val="000000"/>
          <w:kern w:val="0"/>
          <w:szCs w:val="32"/>
        </w:rPr>
      </w:pPr>
      <w:bookmarkStart w:id="13" w:name="OLE_LINK9"/>
      <w:bookmarkStart w:id="14" w:name="OLE_LINK8"/>
      <w:bookmarkStart w:id="15" w:name="OLE_LINK7"/>
      <w:r>
        <w:rPr>
          <w:rFonts w:ascii="仿宋_GB2312" w:cs="宋体" w:hint="eastAsia"/>
          <w:color w:val="000000"/>
          <w:kern w:val="0"/>
          <w:szCs w:val="32"/>
        </w:rPr>
        <w:t>境外金融机构完成当月所有交易日外汇风险准备金交存基数保存操作即视为当月交存基数报送完成。境外金融机构应于交易次月第1个工作日（以银行间外汇市场交易日为准）24点前，完成交易当月外汇风险准备金交存基数的报送，否则视为延迟报数。延迟报数的境外金融机构应出具书面说明。</w:t>
      </w:r>
    </w:p>
    <w:bookmarkEnd w:id="13"/>
    <w:bookmarkEnd w:id="14"/>
    <w:bookmarkEnd w:id="15"/>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境外金融机构对报送数据的真实性、准确性负责，月度外汇风险准备金交存基数应等于境外金融机构基于代客业务当月在银行间外汇市场平盘所产生的远期购汇总额。</w:t>
      </w:r>
    </w:p>
    <w:bookmarkEnd w:id="11"/>
    <w:bookmarkEnd w:id="12"/>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2、</w:t>
      </w:r>
      <w:r>
        <w:rPr>
          <w:rFonts w:ascii="仿宋_GB2312" w:cs="宋体" w:hint="eastAsia"/>
          <w:b/>
          <w:color w:val="000000"/>
          <w:kern w:val="0"/>
          <w:szCs w:val="32"/>
        </w:rPr>
        <w:t>信息确认。</w:t>
      </w:r>
      <w:r>
        <w:rPr>
          <w:rFonts w:ascii="仿宋_GB2312" w:cs="宋体" w:hint="eastAsia"/>
          <w:color w:val="000000"/>
          <w:kern w:val="0"/>
          <w:szCs w:val="32"/>
        </w:rPr>
        <w:t>信息报送界面根据境外金融机构报送的当月外汇风险准备金交存基数计算应交纳外汇风险准备金金额，境外金融机构应于交易次月第4个工作日上午9:30前，于信息报送界面完成应交纳外汇风险准备金的确认操作。</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境外金融机构确认操作完成后不得自行更改报送数据。如因特殊原因需于确认后更改报送数据的，应出具紧急更改情况说明并加盖公章后传真至交易中心，由交易中心代为更改报送数据。</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交易中心对境外金融机构经确认后的报送数据于交易</w:t>
      </w:r>
      <w:r>
        <w:rPr>
          <w:rFonts w:ascii="仿宋_GB2312" w:cs="宋体" w:hint="eastAsia"/>
          <w:color w:val="000000"/>
          <w:kern w:val="0"/>
          <w:szCs w:val="32"/>
        </w:rPr>
        <w:lastRenderedPageBreak/>
        <w:t>次月第6个工作日上午9:30前完成审核。审核通过后，境外金融机构可在交易后平台信息报送页面下载《外汇风险准备金交存申报表》，并据此办理外汇风险准备金的汇划。</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3、</w:t>
      </w:r>
      <w:r>
        <w:rPr>
          <w:rFonts w:ascii="仿宋_GB2312" w:cs="宋体" w:hint="eastAsia"/>
          <w:b/>
          <w:color w:val="000000"/>
          <w:kern w:val="0"/>
          <w:szCs w:val="32"/>
        </w:rPr>
        <w:t>应急处理。</w:t>
      </w:r>
      <w:r>
        <w:rPr>
          <w:rFonts w:ascii="仿宋_GB2312" w:cs="宋体" w:hint="eastAsia"/>
          <w:color w:val="000000"/>
          <w:kern w:val="0"/>
          <w:szCs w:val="32"/>
        </w:rPr>
        <w:t>因系统故障等原因无法报送时，境外金融机构应提交每日外汇风险准备金交存基数与对应的代客交易明细，并填写《外汇风险准备金交存申报表》（附表一）及加盖公章，于交易次月第1个工作日24点前发送传真至交易中心完成应急报送。</w:t>
      </w:r>
    </w:p>
    <w:bookmarkEnd w:id="9"/>
    <w:bookmarkEnd w:id="10"/>
    <w:p w:rsidR="0010549C" w:rsidRDefault="0010549C" w:rsidP="0010549C">
      <w:pPr>
        <w:pStyle w:val="1"/>
        <w:keepNext w:val="0"/>
        <w:keepLines w:val="0"/>
        <w:snapToGrid w:val="0"/>
        <w:spacing w:before="0" w:after="0" w:line="560" w:lineRule="exact"/>
        <w:ind w:firstLineChars="200" w:firstLine="643"/>
        <w:rPr>
          <w:rFonts w:ascii="黑体" w:eastAsia="黑体" w:hAnsi="黑体"/>
          <w:kern w:val="0"/>
          <w:sz w:val="32"/>
          <w:szCs w:val="32"/>
        </w:rPr>
      </w:pPr>
      <w:r>
        <w:rPr>
          <w:rFonts w:ascii="黑体" w:eastAsia="黑体" w:hAnsi="黑体" w:hint="eastAsia"/>
          <w:kern w:val="0"/>
          <w:sz w:val="32"/>
          <w:szCs w:val="32"/>
        </w:rPr>
        <w:t>五、资金汇划</w:t>
      </w:r>
    </w:p>
    <w:p w:rsidR="0010549C" w:rsidRDefault="0010549C" w:rsidP="0010549C">
      <w:pPr>
        <w:pStyle w:val="1"/>
        <w:keepNext w:val="0"/>
        <w:keepLines w:val="0"/>
        <w:snapToGrid w:val="0"/>
        <w:spacing w:before="0" w:after="0" w:line="560" w:lineRule="exact"/>
        <w:ind w:firstLineChars="200" w:firstLine="640"/>
        <w:rPr>
          <w:rFonts w:ascii="仿宋_GB2312" w:eastAsia="仿宋_GB2312" w:hAnsi="Times New Roman"/>
          <w:kern w:val="0"/>
          <w:sz w:val="32"/>
          <w:szCs w:val="32"/>
        </w:rPr>
      </w:pPr>
      <w:r>
        <w:rPr>
          <w:rFonts w:ascii="仿宋_GB2312" w:eastAsia="仿宋_GB2312" w:hint="eastAsia"/>
          <w:b w:val="0"/>
          <w:color w:val="000000"/>
          <w:kern w:val="0"/>
          <w:sz w:val="32"/>
          <w:szCs w:val="32"/>
        </w:rPr>
        <w:t>境外金融机构应于北京时间每月15日前将外汇风险准备金划至交易中心外汇风险准备金专用账户，争取到账时间不迟于北京时间每月15日中午12点，遇中美节假日则顺延至下一个中美共同工作日。美元节假日可参考交易中心每年初于中国货币网发布的《各币种节假日表》。</w:t>
      </w:r>
      <w:r>
        <w:rPr>
          <w:rFonts w:ascii="仿宋_GB2312" w:eastAsia="仿宋_GB2312" w:hAnsi="Times New Roman" w:hint="eastAsia"/>
          <w:b w:val="0"/>
          <w:kern w:val="0"/>
          <w:sz w:val="32"/>
          <w:szCs w:val="32"/>
        </w:rPr>
        <w:t>境外金融机构向交易中心</w:t>
      </w:r>
      <w:r>
        <w:rPr>
          <w:rFonts w:ascii="仿宋_GB2312" w:eastAsia="仿宋_GB2312" w:hAnsi="Times New Roman" w:hint="eastAsia"/>
          <w:b w:val="0"/>
          <w:bCs w:val="0"/>
          <w:kern w:val="0"/>
          <w:sz w:val="32"/>
          <w:szCs w:val="32"/>
        </w:rPr>
        <w:t>外汇风险准备金专用账户汇</w:t>
      </w:r>
      <w:r>
        <w:rPr>
          <w:rFonts w:ascii="仿宋_GB2312" w:eastAsia="仿宋_GB2312" w:hAnsi="Times New Roman" w:hint="eastAsia"/>
          <w:b w:val="0"/>
          <w:kern w:val="0"/>
          <w:sz w:val="32"/>
          <w:szCs w:val="32"/>
        </w:rPr>
        <w:t>划外汇风险准备金时，应按《划付外汇交易中心风险准备金MT202报文模板》（附表二）的要求填写付款报文。</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境外金融机构多划付外汇风险准备金时，需提交退款申请并加盖公章后传真至交易中心，由交易中心办理退款。</w:t>
      </w:r>
    </w:p>
    <w:p w:rsidR="0010549C" w:rsidRDefault="0010549C" w:rsidP="0010549C">
      <w:pPr>
        <w:pStyle w:val="1"/>
        <w:keepNext w:val="0"/>
        <w:keepLines w:val="0"/>
        <w:snapToGrid w:val="0"/>
        <w:spacing w:before="0" w:after="0" w:line="560" w:lineRule="exact"/>
        <w:ind w:firstLineChars="200" w:firstLine="643"/>
        <w:rPr>
          <w:rFonts w:ascii="黑体" w:eastAsia="黑体" w:hAnsi="黑体"/>
          <w:kern w:val="0"/>
          <w:sz w:val="32"/>
          <w:szCs w:val="32"/>
        </w:rPr>
      </w:pPr>
      <w:r>
        <w:rPr>
          <w:rFonts w:ascii="黑体" w:eastAsia="黑体" w:hAnsi="黑体" w:hint="eastAsia"/>
          <w:kern w:val="0"/>
          <w:sz w:val="32"/>
          <w:szCs w:val="32"/>
        </w:rPr>
        <w:t>六、资金退划</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外汇风险准备金冻结期为1年，交易中心根据《外汇风险准备金交存申报表》中的到期退款账户于期满当月15日办理解冻外汇风险准备金的退划，遇中美节假日则顺延至下一个中美共同工作日。</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lastRenderedPageBreak/>
        <w:t>境外金融机构如有变更到期退款账户的情况，需填写《境外金融机构外汇风险准备金退划账户变更情况表》（附表三）并加盖公章传真至交易中心，账户变更自次月起生效。</w:t>
      </w:r>
    </w:p>
    <w:p w:rsidR="0010549C" w:rsidRDefault="0010549C" w:rsidP="0010549C">
      <w:pPr>
        <w:pStyle w:val="1"/>
        <w:keepNext w:val="0"/>
        <w:keepLines w:val="0"/>
        <w:snapToGrid w:val="0"/>
        <w:spacing w:before="0" w:after="0" w:line="560" w:lineRule="exact"/>
        <w:ind w:firstLineChars="200" w:firstLine="643"/>
        <w:rPr>
          <w:rFonts w:ascii="黑体" w:eastAsia="黑体" w:hAnsi="黑体"/>
          <w:kern w:val="0"/>
          <w:sz w:val="32"/>
          <w:szCs w:val="32"/>
        </w:rPr>
      </w:pPr>
      <w:r>
        <w:rPr>
          <w:rFonts w:ascii="黑体" w:eastAsia="黑体" w:hAnsi="黑体" w:hint="eastAsia"/>
          <w:kern w:val="0"/>
          <w:sz w:val="32"/>
          <w:szCs w:val="32"/>
        </w:rPr>
        <w:t>七、违规处理</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境外金融机构应按要求报送信息、交纳外汇风险准备金。境外金融机构未按规定时间报送信息，错报、漏报外汇风险准备金交存基数和应交存金额，迟交、漏交外汇风险准备金且未及时补足的，交易中心可视具体情况要求违规机构提供书面说明，业务负责人报告有关情况，或向市场公告该等违规行为。</w:t>
      </w:r>
    </w:p>
    <w:p w:rsidR="0010549C" w:rsidRDefault="0010549C" w:rsidP="0010549C">
      <w:pPr>
        <w:pStyle w:val="1"/>
        <w:keepNext w:val="0"/>
        <w:keepLines w:val="0"/>
        <w:snapToGrid w:val="0"/>
        <w:spacing w:before="0" w:after="0" w:line="560" w:lineRule="exact"/>
        <w:ind w:firstLineChars="200" w:firstLine="643"/>
        <w:rPr>
          <w:rFonts w:ascii="黑体" w:eastAsia="黑体" w:hAnsi="黑体"/>
          <w:kern w:val="0"/>
          <w:sz w:val="32"/>
          <w:szCs w:val="32"/>
        </w:rPr>
      </w:pPr>
      <w:r>
        <w:rPr>
          <w:rFonts w:ascii="黑体" w:eastAsia="黑体" w:hAnsi="黑体" w:hint="eastAsia"/>
          <w:kern w:val="0"/>
          <w:sz w:val="32"/>
          <w:szCs w:val="32"/>
        </w:rPr>
        <w:t>八、联系方式</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业务电话：021-68797112</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业务传真：021-68797388</w:t>
      </w: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 xml:space="preserve">本指南自发布之日起生效。指南由交易中心负责解释，并根据有关政策和市场情况不时调整。 </w:t>
      </w:r>
    </w:p>
    <w:p w:rsidR="0010549C" w:rsidRDefault="0010549C" w:rsidP="0010549C">
      <w:pPr>
        <w:snapToGrid w:val="0"/>
        <w:spacing w:line="560" w:lineRule="exact"/>
        <w:ind w:firstLineChars="200" w:firstLine="640"/>
        <w:rPr>
          <w:rFonts w:ascii="仿宋_GB2312" w:cs="宋体"/>
          <w:color w:val="000000"/>
          <w:kern w:val="0"/>
          <w:szCs w:val="32"/>
        </w:rPr>
      </w:pPr>
    </w:p>
    <w:p w:rsidR="0010549C" w:rsidRDefault="0010549C" w:rsidP="0010549C">
      <w:pPr>
        <w:snapToGrid w:val="0"/>
        <w:spacing w:line="560" w:lineRule="exact"/>
        <w:ind w:firstLineChars="200" w:firstLine="640"/>
        <w:rPr>
          <w:rFonts w:ascii="仿宋_GB2312" w:cs="宋体"/>
          <w:color w:val="000000"/>
          <w:kern w:val="0"/>
          <w:szCs w:val="32"/>
        </w:rPr>
      </w:pPr>
      <w:r>
        <w:rPr>
          <w:rFonts w:ascii="仿宋_GB2312" w:cs="宋体" w:hint="eastAsia"/>
          <w:color w:val="000000"/>
          <w:kern w:val="0"/>
          <w:szCs w:val="32"/>
        </w:rPr>
        <w:t>附表：1.外汇风险准备金交存申报表</w:t>
      </w:r>
    </w:p>
    <w:p w:rsidR="0010549C" w:rsidRDefault="0010549C" w:rsidP="0010549C">
      <w:pPr>
        <w:tabs>
          <w:tab w:val="left" w:pos="1655"/>
        </w:tabs>
        <w:snapToGrid w:val="0"/>
        <w:spacing w:line="560" w:lineRule="exact"/>
        <w:ind w:firstLineChars="487" w:firstLine="1558"/>
        <w:rPr>
          <w:rFonts w:ascii="仿宋_GB2312" w:cs="宋体"/>
          <w:color w:val="000000"/>
          <w:kern w:val="0"/>
          <w:szCs w:val="32"/>
        </w:rPr>
      </w:pPr>
      <w:r>
        <w:rPr>
          <w:rFonts w:ascii="仿宋_GB2312" w:cs="宋体" w:hint="eastAsia"/>
          <w:color w:val="000000"/>
          <w:kern w:val="0"/>
          <w:szCs w:val="32"/>
        </w:rPr>
        <w:t>2.划付外汇交易中心风险准备金MT202报文模板</w:t>
      </w:r>
    </w:p>
    <w:p w:rsidR="0010549C" w:rsidRDefault="0010549C" w:rsidP="0010549C">
      <w:pPr>
        <w:snapToGrid w:val="0"/>
        <w:spacing w:line="560" w:lineRule="exact"/>
        <w:ind w:leftChars="488" w:left="1984" w:hangingChars="132" w:hanging="422"/>
        <w:rPr>
          <w:rFonts w:ascii="仿宋_GB2312" w:cs="宋体"/>
          <w:color w:val="000000"/>
          <w:kern w:val="0"/>
          <w:szCs w:val="32"/>
        </w:rPr>
      </w:pPr>
      <w:r>
        <w:rPr>
          <w:rFonts w:ascii="仿宋_GB2312" w:cs="宋体" w:hint="eastAsia"/>
          <w:color w:val="000000"/>
          <w:kern w:val="0"/>
          <w:szCs w:val="32"/>
        </w:rPr>
        <w:t>3.境外金融机构外汇风险准备金退划账户变更情况表</w:t>
      </w:r>
    </w:p>
    <w:p w:rsidR="0010549C" w:rsidRDefault="0010549C" w:rsidP="0010549C">
      <w:pPr>
        <w:snapToGrid w:val="0"/>
        <w:spacing w:line="560" w:lineRule="exact"/>
        <w:ind w:left="3"/>
        <w:rPr>
          <w:rFonts w:ascii="仿宋_GB2312" w:cs="宋体"/>
          <w:color w:val="000000"/>
          <w:kern w:val="0"/>
          <w:szCs w:val="32"/>
        </w:rPr>
      </w:pPr>
    </w:p>
    <w:p w:rsidR="0010549C" w:rsidRDefault="0010549C" w:rsidP="0010549C">
      <w:pPr>
        <w:snapToGrid w:val="0"/>
        <w:spacing w:line="560" w:lineRule="exact"/>
        <w:ind w:left="3"/>
        <w:rPr>
          <w:rFonts w:ascii="仿宋_GB2312" w:cs="宋体"/>
          <w:color w:val="000000"/>
          <w:kern w:val="0"/>
          <w:szCs w:val="32"/>
        </w:rPr>
      </w:pPr>
    </w:p>
    <w:p w:rsidR="0010549C" w:rsidRDefault="0010549C" w:rsidP="0010549C">
      <w:pPr>
        <w:widowControl/>
        <w:snapToGrid w:val="0"/>
        <w:spacing w:line="560" w:lineRule="exact"/>
        <w:rPr>
          <w:rFonts w:ascii="仿宋_GB2312" w:cs="宋体"/>
          <w:color w:val="000000"/>
          <w:kern w:val="0"/>
          <w:szCs w:val="32"/>
        </w:rPr>
      </w:pPr>
      <w:r>
        <w:rPr>
          <w:rFonts w:cs="宋体"/>
          <w:color w:val="000000"/>
          <w:kern w:val="0"/>
          <w:sz w:val="28"/>
          <w:szCs w:val="28"/>
        </w:rPr>
        <w:br w:type="page"/>
      </w:r>
      <w:r>
        <w:rPr>
          <w:rFonts w:ascii="仿宋_GB2312" w:cs="宋体" w:hint="eastAsia"/>
          <w:color w:val="000000"/>
          <w:kern w:val="0"/>
          <w:szCs w:val="32"/>
        </w:rPr>
        <w:lastRenderedPageBreak/>
        <w:t>附表1</w:t>
      </w:r>
    </w:p>
    <w:p w:rsidR="0010549C" w:rsidRDefault="0010549C" w:rsidP="0010549C">
      <w:pPr>
        <w:snapToGrid w:val="0"/>
        <w:jc w:val="center"/>
        <w:rPr>
          <w:rFonts w:ascii="黑体" w:eastAsia="黑体" w:hAnsi="黑体"/>
          <w:b/>
          <w:szCs w:val="32"/>
        </w:rPr>
      </w:pPr>
      <w:r>
        <w:rPr>
          <w:rFonts w:ascii="黑体" w:eastAsia="黑体" w:hAnsi="黑体" w:hint="eastAsia"/>
          <w:b/>
          <w:szCs w:val="32"/>
        </w:rPr>
        <w:t>外汇风险准备金交存申报表</w:t>
      </w:r>
    </w:p>
    <w:p w:rsidR="0010549C" w:rsidRDefault="0010549C" w:rsidP="0010549C">
      <w:pPr>
        <w:snapToGrid w:val="0"/>
        <w:ind w:right="480"/>
        <w:rPr>
          <w:rFonts w:cs="宋体"/>
          <w:color w:val="000000"/>
          <w:kern w:val="0"/>
          <w:sz w:val="24"/>
          <w:szCs w:val="24"/>
        </w:rPr>
      </w:pPr>
    </w:p>
    <w:p w:rsidR="0010549C" w:rsidRDefault="0010549C" w:rsidP="0010549C">
      <w:pPr>
        <w:snapToGrid w:val="0"/>
        <w:ind w:right="480"/>
        <w:rPr>
          <w:rFonts w:cs="宋体"/>
          <w:color w:val="000000"/>
          <w:kern w:val="0"/>
          <w:sz w:val="24"/>
          <w:szCs w:val="24"/>
        </w:rPr>
      </w:pPr>
    </w:p>
    <w:p w:rsidR="0010549C" w:rsidRDefault="0010549C" w:rsidP="0010549C">
      <w:pPr>
        <w:snapToGrid w:val="0"/>
        <w:ind w:right="480"/>
        <w:rPr>
          <w:rFonts w:cs="宋体"/>
          <w:color w:val="000000"/>
          <w:kern w:val="0"/>
          <w:sz w:val="24"/>
          <w:szCs w:val="24"/>
        </w:rPr>
      </w:pPr>
      <w:r>
        <w:rPr>
          <w:rFonts w:cs="宋体" w:hint="eastAsia"/>
          <w:color w:val="000000"/>
          <w:kern w:val="0"/>
          <w:sz w:val="24"/>
          <w:szCs w:val="24"/>
        </w:rPr>
        <w:t>金融机构</w:t>
      </w:r>
      <w:r>
        <w:rPr>
          <w:rFonts w:cs="宋体"/>
          <w:color w:val="000000"/>
          <w:kern w:val="0"/>
          <w:sz w:val="24"/>
          <w:szCs w:val="24"/>
        </w:rPr>
        <w:t>(</w:t>
      </w:r>
      <w:r>
        <w:rPr>
          <w:rFonts w:cs="宋体" w:hint="eastAsia"/>
          <w:color w:val="000000"/>
          <w:kern w:val="0"/>
          <w:sz w:val="24"/>
          <w:szCs w:val="24"/>
        </w:rPr>
        <w:t>盖章</w:t>
      </w:r>
      <w:r>
        <w:rPr>
          <w:rFonts w:cs="宋体"/>
          <w:color w:val="000000"/>
          <w:kern w:val="0"/>
          <w:sz w:val="24"/>
          <w:szCs w:val="24"/>
        </w:rPr>
        <w:t xml:space="preserve">):              </w:t>
      </w:r>
      <w:r>
        <w:rPr>
          <w:rFonts w:cs="宋体" w:hint="eastAsia"/>
          <w:color w:val="000000"/>
          <w:kern w:val="0"/>
          <w:sz w:val="24"/>
          <w:szCs w:val="24"/>
        </w:rPr>
        <w:t>本期征收月份</w:t>
      </w:r>
      <w:r>
        <w:rPr>
          <w:rFonts w:cs="宋体"/>
          <w:color w:val="000000"/>
          <w:kern w:val="0"/>
          <w:sz w:val="24"/>
          <w:szCs w:val="24"/>
        </w:rPr>
        <w:t xml:space="preserve">  _____</w:t>
      </w:r>
      <w:r>
        <w:rPr>
          <w:rFonts w:cs="宋体" w:hint="eastAsia"/>
          <w:color w:val="000000"/>
          <w:kern w:val="0"/>
          <w:sz w:val="24"/>
          <w:szCs w:val="24"/>
        </w:rPr>
        <w:t>年</w:t>
      </w:r>
      <w:r>
        <w:rPr>
          <w:rFonts w:cs="宋体"/>
          <w:color w:val="000000"/>
          <w:kern w:val="0"/>
          <w:sz w:val="24"/>
          <w:szCs w:val="24"/>
        </w:rPr>
        <w:t>_____</w:t>
      </w:r>
      <w:r>
        <w:rPr>
          <w:rFonts w:cs="宋体" w:hint="eastAsia"/>
          <w:color w:val="000000"/>
          <w:kern w:val="0"/>
          <w:sz w:val="24"/>
          <w:szCs w:val="24"/>
        </w:rPr>
        <w:t>月</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4782"/>
        <w:gridCol w:w="2537"/>
      </w:tblGrid>
      <w:tr w:rsidR="0010549C" w:rsidTr="00B12A8C">
        <w:trPr>
          <w:trHeight w:val="412"/>
        </w:trPr>
        <w:tc>
          <w:tcPr>
            <w:tcW w:w="1415" w:type="dxa"/>
            <w:vMerge w:val="restart"/>
            <w:tcBorders>
              <w:top w:val="single" w:sz="4" w:space="0" w:color="auto"/>
              <w:left w:val="single" w:sz="4" w:space="0" w:color="auto"/>
              <w:bottom w:val="single" w:sz="4" w:space="0" w:color="auto"/>
              <w:right w:val="single" w:sz="4" w:space="0" w:color="auto"/>
            </w:tcBorders>
          </w:tcPr>
          <w:p w:rsidR="0010549C" w:rsidRDefault="0010549C" w:rsidP="00B12A8C">
            <w:pPr>
              <w:snapToGrid w:val="0"/>
              <w:jc w:val="center"/>
              <w:rPr>
                <w:rFonts w:cs="宋体"/>
                <w:color w:val="000000"/>
                <w:kern w:val="0"/>
                <w:sz w:val="24"/>
                <w:szCs w:val="24"/>
              </w:rPr>
            </w:pPr>
          </w:p>
          <w:p w:rsidR="0010549C" w:rsidRDefault="0010549C" w:rsidP="00B12A8C">
            <w:pPr>
              <w:snapToGrid w:val="0"/>
              <w:jc w:val="center"/>
              <w:rPr>
                <w:rFonts w:cs="宋体"/>
                <w:color w:val="000000"/>
                <w:kern w:val="0"/>
                <w:sz w:val="24"/>
                <w:szCs w:val="24"/>
              </w:rPr>
            </w:pPr>
          </w:p>
          <w:p w:rsidR="0010549C" w:rsidRDefault="0010549C" w:rsidP="00B12A8C">
            <w:pPr>
              <w:snapToGrid w:val="0"/>
              <w:jc w:val="center"/>
              <w:rPr>
                <w:rFonts w:cs="宋体"/>
                <w:color w:val="000000"/>
                <w:kern w:val="0"/>
                <w:sz w:val="24"/>
                <w:szCs w:val="24"/>
              </w:rPr>
            </w:pPr>
          </w:p>
          <w:p w:rsidR="0010549C" w:rsidRDefault="0010549C" w:rsidP="00B12A8C">
            <w:pPr>
              <w:snapToGrid w:val="0"/>
              <w:jc w:val="center"/>
              <w:rPr>
                <w:rFonts w:cs="宋体"/>
                <w:color w:val="000000"/>
                <w:kern w:val="0"/>
                <w:sz w:val="24"/>
                <w:szCs w:val="24"/>
              </w:rPr>
            </w:pPr>
          </w:p>
          <w:p w:rsidR="0010549C" w:rsidRDefault="0010549C" w:rsidP="00B12A8C">
            <w:pPr>
              <w:snapToGrid w:val="0"/>
              <w:jc w:val="center"/>
              <w:rPr>
                <w:rFonts w:cs="宋体"/>
                <w:color w:val="000000"/>
                <w:kern w:val="0"/>
                <w:sz w:val="24"/>
                <w:szCs w:val="24"/>
              </w:rPr>
            </w:pPr>
          </w:p>
          <w:p w:rsidR="0010549C" w:rsidRDefault="0010549C" w:rsidP="00B12A8C">
            <w:pPr>
              <w:snapToGrid w:val="0"/>
              <w:jc w:val="center"/>
              <w:rPr>
                <w:rFonts w:cs="宋体"/>
                <w:color w:val="000000"/>
                <w:kern w:val="0"/>
                <w:sz w:val="24"/>
                <w:szCs w:val="24"/>
              </w:rPr>
            </w:pPr>
          </w:p>
          <w:p w:rsidR="0010549C" w:rsidRDefault="0010549C" w:rsidP="00B12A8C">
            <w:pPr>
              <w:snapToGrid w:val="0"/>
              <w:jc w:val="center"/>
              <w:rPr>
                <w:rFonts w:cs="宋体"/>
                <w:color w:val="000000"/>
                <w:kern w:val="0"/>
                <w:sz w:val="24"/>
                <w:szCs w:val="24"/>
              </w:rPr>
            </w:pPr>
          </w:p>
          <w:p w:rsidR="0010549C" w:rsidRDefault="0010549C" w:rsidP="00B12A8C">
            <w:pPr>
              <w:snapToGrid w:val="0"/>
              <w:jc w:val="center"/>
              <w:rPr>
                <w:rFonts w:cs="宋体"/>
                <w:color w:val="000000"/>
                <w:kern w:val="0"/>
                <w:sz w:val="24"/>
                <w:szCs w:val="24"/>
              </w:rPr>
            </w:pPr>
          </w:p>
          <w:p w:rsidR="0010549C" w:rsidRDefault="0010549C" w:rsidP="00B12A8C">
            <w:pPr>
              <w:snapToGrid w:val="0"/>
              <w:jc w:val="center"/>
              <w:rPr>
                <w:rFonts w:cs="宋体"/>
                <w:color w:val="000000"/>
                <w:kern w:val="0"/>
                <w:sz w:val="24"/>
                <w:szCs w:val="24"/>
              </w:rPr>
            </w:pPr>
          </w:p>
          <w:p w:rsidR="0010549C" w:rsidRDefault="0010549C" w:rsidP="00B12A8C">
            <w:pPr>
              <w:snapToGrid w:val="0"/>
              <w:jc w:val="center"/>
              <w:rPr>
                <w:rFonts w:cs="宋体"/>
                <w:color w:val="000000"/>
                <w:kern w:val="0"/>
                <w:sz w:val="24"/>
                <w:szCs w:val="24"/>
              </w:rPr>
            </w:pPr>
          </w:p>
          <w:p w:rsidR="0010549C" w:rsidRDefault="0010549C" w:rsidP="00B12A8C">
            <w:pPr>
              <w:snapToGrid w:val="0"/>
              <w:jc w:val="center"/>
              <w:rPr>
                <w:rFonts w:cs="宋体"/>
                <w:color w:val="000000"/>
                <w:kern w:val="0"/>
                <w:sz w:val="24"/>
                <w:szCs w:val="24"/>
              </w:rPr>
            </w:pPr>
            <w:r>
              <w:rPr>
                <w:rFonts w:cs="宋体" w:hint="eastAsia"/>
                <w:color w:val="000000"/>
                <w:kern w:val="0"/>
                <w:sz w:val="24"/>
                <w:szCs w:val="24"/>
              </w:rPr>
              <w:t>申报机构填写</w:t>
            </w: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center"/>
              <w:rPr>
                <w:rFonts w:cs="宋体"/>
                <w:color w:val="000000"/>
                <w:kern w:val="0"/>
                <w:sz w:val="24"/>
                <w:szCs w:val="24"/>
              </w:rPr>
            </w:pPr>
            <w:r>
              <w:rPr>
                <w:rFonts w:cs="宋体" w:hint="eastAsia"/>
                <w:color w:val="000000"/>
                <w:kern w:val="0"/>
                <w:sz w:val="24"/>
                <w:szCs w:val="24"/>
              </w:rPr>
              <w:t>外汇风险准备金交存比例</w:t>
            </w:r>
          </w:p>
        </w:tc>
        <w:tc>
          <w:tcPr>
            <w:tcW w:w="2537"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center"/>
              <w:rPr>
                <w:rFonts w:cs="宋体"/>
                <w:color w:val="000000"/>
                <w:kern w:val="0"/>
                <w:sz w:val="24"/>
                <w:szCs w:val="24"/>
              </w:rPr>
            </w:pPr>
            <w:r>
              <w:rPr>
                <w:rFonts w:cs="宋体"/>
                <w:color w:val="000000"/>
                <w:kern w:val="0"/>
                <w:sz w:val="24"/>
                <w:szCs w:val="24"/>
              </w:rPr>
              <w:t>20%</w:t>
            </w:r>
          </w:p>
        </w:tc>
      </w:tr>
      <w:tr w:rsidR="0010549C" w:rsidTr="00B12A8C">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7319" w:type="dxa"/>
            <w:gridSpan w:val="2"/>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left"/>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美元远期售汇征收额</w:t>
            </w:r>
          </w:p>
        </w:tc>
      </w:tr>
      <w:tr w:rsidR="0010549C" w:rsidTr="00B12A8C">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left"/>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美元远期售汇征收额基数</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rPr>
                <w:rFonts w:cs="宋体"/>
                <w:color w:val="000000"/>
                <w:kern w:val="0"/>
                <w:sz w:val="24"/>
                <w:szCs w:val="24"/>
              </w:rPr>
            </w:pPr>
          </w:p>
        </w:tc>
      </w:tr>
      <w:tr w:rsidR="0010549C" w:rsidTr="00B12A8C">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left"/>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本期应交外汇风险准备金</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rPr>
                <w:rFonts w:cs="宋体"/>
                <w:color w:val="000000"/>
                <w:kern w:val="0"/>
                <w:sz w:val="24"/>
                <w:szCs w:val="24"/>
              </w:rPr>
            </w:pPr>
          </w:p>
        </w:tc>
      </w:tr>
      <w:tr w:rsidR="0010549C" w:rsidTr="00B12A8C">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7319" w:type="dxa"/>
            <w:gridSpan w:val="2"/>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center"/>
              <w:rPr>
                <w:rFonts w:cs="宋体"/>
                <w:color w:val="000000"/>
                <w:kern w:val="0"/>
                <w:sz w:val="24"/>
                <w:szCs w:val="24"/>
              </w:rPr>
            </w:pPr>
            <w:r>
              <w:rPr>
                <w:rFonts w:cs="宋体" w:hint="eastAsia"/>
                <w:color w:val="000000"/>
                <w:kern w:val="0"/>
                <w:sz w:val="24"/>
                <w:szCs w:val="24"/>
              </w:rPr>
              <w:t>非美元远期售汇征收额</w:t>
            </w:r>
          </w:p>
        </w:tc>
      </w:tr>
      <w:tr w:rsidR="0010549C" w:rsidTr="00B12A8C">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center"/>
              <w:rPr>
                <w:rFonts w:cs="宋体"/>
                <w:color w:val="000000"/>
                <w:kern w:val="0"/>
                <w:sz w:val="24"/>
                <w:szCs w:val="24"/>
              </w:rPr>
            </w:pPr>
            <w:r>
              <w:rPr>
                <w:rFonts w:cs="宋体" w:hint="eastAsia"/>
                <w:color w:val="000000"/>
                <w:kern w:val="0"/>
                <w:sz w:val="24"/>
                <w:szCs w:val="24"/>
              </w:rPr>
              <w:t>非美元远期售汇征收额基数</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rPr>
                <w:rFonts w:cs="宋体"/>
                <w:color w:val="000000"/>
                <w:kern w:val="0"/>
                <w:sz w:val="24"/>
                <w:szCs w:val="24"/>
              </w:rPr>
            </w:pPr>
          </w:p>
        </w:tc>
      </w:tr>
      <w:tr w:rsidR="0010549C" w:rsidTr="00B12A8C">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left"/>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非美元本期应交外汇风险准备金</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rPr>
                <w:rFonts w:cs="宋体"/>
                <w:color w:val="000000"/>
                <w:kern w:val="0"/>
                <w:sz w:val="24"/>
                <w:szCs w:val="24"/>
              </w:rPr>
            </w:pPr>
          </w:p>
        </w:tc>
      </w:tr>
      <w:tr w:rsidR="0010549C" w:rsidTr="00B12A8C">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7319" w:type="dxa"/>
            <w:gridSpan w:val="2"/>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center"/>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各币种合计远期售汇征收额</w:t>
            </w:r>
          </w:p>
        </w:tc>
      </w:tr>
      <w:tr w:rsidR="0010549C" w:rsidTr="00B12A8C">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left"/>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各币种远期售汇征收额基数</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jc w:val="center"/>
              <w:rPr>
                <w:rFonts w:cs="宋体"/>
                <w:color w:val="000000"/>
                <w:kern w:val="0"/>
                <w:sz w:val="24"/>
                <w:szCs w:val="24"/>
              </w:rPr>
            </w:pPr>
          </w:p>
        </w:tc>
      </w:tr>
      <w:tr w:rsidR="0010549C" w:rsidTr="00B12A8C">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center"/>
              <w:rPr>
                <w:rFonts w:cs="宋体"/>
                <w:color w:val="000000"/>
                <w:kern w:val="0"/>
                <w:sz w:val="24"/>
                <w:szCs w:val="24"/>
              </w:rPr>
            </w:pPr>
            <w:r>
              <w:rPr>
                <w:rFonts w:cs="宋体" w:hint="eastAsia"/>
                <w:color w:val="000000"/>
                <w:kern w:val="0"/>
                <w:sz w:val="24"/>
                <w:szCs w:val="24"/>
              </w:rPr>
              <w:t>各币种合计本期应交外汇风险准备金</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jc w:val="center"/>
              <w:rPr>
                <w:rFonts w:cs="宋体"/>
                <w:color w:val="000000"/>
                <w:kern w:val="0"/>
                <w:sz w:val="24"/>
                <w:szCs w:val="24"/>
              </w:rPr>
            </w:pPr>
          </w:p>
        </w:tc>
      </w:tr>
      <w:tr w:rsidR="0010549C" w:rsidTr="00B12A8C">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center"/>
              <w:rPr>
                <w:rFonts w:cs="宋体"/>
                <w:color w:val="000000"/>
                <w:kern w:val="0"/>
                <w:sz w:val="24"/>
                <w:szCs w:val="24"/>
              </w:rPr>
            </w:pPr>
            <w:r>
              <w:rPr>
                <w:rFonts w:cs="宋体" w:hint="eastAsia"/>
                <w:color w:val="000000"/>
                <w:kern w:val="0"/>
                <w:sz w:val="24"/>
                <w:szCs w:val="24"/>
              </w:rPr>
              <w:t>当月应退申报机构解冻风险准备金额</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jc w:val="center"/>
              <w:rPr>
                <w:rFonts w:cs="宋体"/>
                <w:color w:val="000000"/>
                <w:kern w:val="0"/>
                <w:sz w:val="24"/>
                <w:szCs w:val="24"/>
              </w:rPr>
            </w:pPr>
          </w:p>
        </w:tc>
      </w:tr>
      <w:tr w:rsidR="0010549C" w:rsidTr="00B12A8C">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left"/>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申报机构</w:t>
            </w:r>
            <w:r>
              <w:rPr>
                <w:rFonts w:cs="宋体"/>
                <w:color w:val="000000"/>
                <w:kern w:val="0"/>
                <w:sz w:val="24"/>
                <w:szCs w:val="24"/>
              </w:rPr>
              <w:t>SWIFT BIC CODE</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jc w:val="center"/>
              <w:rPr>
                <w:rFonts w:cs="宋体"/>
                <w:color w:val="000000"/>
                <w:kern w:val="0"/>
                <w:sz w:val="24"/>
                <w:szCs w:val="24"/>
              </w:rPr>
            </w:pPr>
          </w:p>
        </w:tc>
      </w:tr>
      <w:tr w:rsidR="0010549C" w:rsidTr="00B12A8C">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left"/>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申报机构到期退款账号</w:t>
            </w:r>
            <w:r>
              <w:rPr>
                <w:rFonts w:cs="宋体"/>
                <w:color w:val="000000"/>
                <w:kern w:val="0"/>
                <w:sz w:val="24"/>
                <w:szCs w:val="24"/>
              </w:rPr>
              <w:t>*</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jc w:val="center"/>
              <w:rPr>
                <w:rFonts w:cs="宋体"/>
                <w:color w:val="000000"/>
                <w:kern w:val="0"/>
                <w:sz w:val="24"/>
                <w:szCs w:val="24"/>
              </w:rPr>
            </w:pPr>
          </w:p>
        </w:tc>
      </w:tr>
      <w:tr w:rsidR="0010549C" w:rsidTr="00B12A8C">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left"/>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申报机构户名</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jc w:val="center"/>
              <w:rPr>
                <w:rFonts w:cs="宋体"/>
                <w:color w:val="000000"/>
                <w:kern w:val="0"/>
                <w:sz w:val="24"/>
                <w:szCs w:val="24"/>
              </w:rPr>
            </w:pPr>
          </w:p>
        </w:tc>
      </w:tr>
      <w:tr w:rsidR="0010549C" w:rsidTr="00B12A8C">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left"/>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开户行</w:t>
            </w:r>
            <w:r>
              <w:rPr>
                <w:rFonts w:cs="宋体"/>
                <w:color w:val="000000"/>
                <w:kern w:val="0"/>
                <w:sz w:val="24"/>
                <w:szCs w:val="24"/>
              </w:rPr>
              <w:t>SWIFT BIC CODE</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jc w:val="center"/>
              <w:rPr>
                <w:rFonts w:cs="宋体"/>
                <w:color w:val="000000"/>
                <w:kern w:val="0"/>
                <w:sz w:val="24"/>
                <w:szCs w:val="24"/>
              </w:rPr>
            </w:pPr>
          </w:p>
        </w:tc>
      </w:tr>
      <w:tr w:rsidR="0010549C" w:rsidTr="00B12A8C">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left"/>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开户行账号与名称</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jc w:val="center"/>
              <w:rPr>
                <w:rFonts w:cs="宋体"/>
                <w:color w:val="000000"/>
                <w:kern w:val="0"/>
                <w:sz w:val="24"/>
                <w:szCs w:val="24"/>
              </w:rPr>
            </w:pPr>
          </w:p>
        </w:tc>
      </w:tr>
      <w:tr w:rsidR="0010549C" w:rsidTr="00B12A8C">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left"/>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中间行</w:t>
            </w:r>
            <w:r>
              <w:rPr>
                <w:rFonts w:cs="宋体"/>
                <w:color w:val="000000"/>
                <w:kern w:val="0"/>
                <w:sz w:val="24"/>
                <w:szCs w:val="24"/>
              </w:rPr>
              <w:t>SWIFT BIC CODE</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jc w:val="center"/>
              <w:rPr>
                <w:rFonts w:cs="宋体"/>
                <w:color w:val="000000"/>
                <w:kern w:val="0"/>
                <w:sz w:val="24"/>
                <w:szCs w:val="24"/>
              </w:rPr>
            </w:pPr>
          </w:p>
        </w:tc>
      </w:tr>
      <w:tr w:rsidR="0010549C" w:rsidTr="00B12A8C">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left"/>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中间行账号与名称</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jc w:val="center"/>
              <w:rPr>
                <w:rFonts w:cs="宋体"/>
                <w:color w:val="000000"/>
                <w:kern w:val="0"/>
                <w:sz w:val="24"/>
                <w:szCs w:val="24"/>
              </w:rPr>
            </w:pPr>
          </w:p>
        </w:tc>
      </w:tr>
      <w:tr w:rsidR="0010549C" w:rsidTr="00B12A8C">
        <w:trPr>
          <w:trHeight w:val="7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left"/>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备注</w:t>
            </w:r>
            <w:r>
              <w:rPr>
                <w:rFonts w:cs="宋体"/>
                <w:color w:val="000000"/>
                <w:kern w:val="0"/>
                <w:sz w:val="24"/>
                <w:szCs w:val="24"/>
              </w:rPr>
              <w:footnoteReference w:id="2"/>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jc w:val="left"/>
              <w:rPr>
                <w:rFonts w:cs="宋体"/>
                <w:color w:val="000000"/>
                <w:kern w:val="0"/>
                <w:sz w:val="24"/>
                <w:szCs w:val="24"/>
              </w:rPr>
            </w:pPr>
          </w:p>
        </w:tc>
      </w:tr>
      <w:tr w:rsidR="0010549C" w:rsidTr="00B12A8C">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cs="宋体"/>
                <w:color w:val="000000"/>
                <w:kern w:val="0"/>
                <w:sz w:val="24"/>
                <w:szCs w:val="24"/>
              </w:rPr>
            </w:pPr>
          </w:p>
        </w:tc>
        <w:tc>
          <w:tcPr>
            <w:tcW w:w="4782" w:type="dxa"/>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left"/>
              <w:rPr>
                <w:rFonts w:cs="宋体"/>
                <w:color w:val="000000"/>
                <w:kern w:val="0"/>
                <w:sz w:val="24"/>
                <w:szCs w:val="24"/>
              </w:rPr>
            </w:pPr>
            <w:r>
              <w:rPr>
                <w:rFonts w:cs="宋体"/>
                <w:color w:val="000000"/>
                <w:kern w:val="0"/>
                <w:sz w:val="24"/>
                <w:szCs w:val="24"/>
              </w:rPr>
              <w:t xml:space="preserve">        </w:t>
            </w:r>
            <w:r>
              <w:rPr>
                <w:rFonts w:cs="宋体" w:hint="eastAsia"/>
                <w:color w:val="000000"/>
                <w:kern w:val="0"/>
                <w:sz w:val="24"/>
                <w:szCs w:val="24"/>
              </w:rPr>
              <w:t>联系人及联系方式</w:t>
            </w:r>
          </w:p>
        </w:tc>
        <w:tc>
          <w:tcPr>
            <w:tcW w:w="2537" w:type="dxa"/>
            <w:tcBorders>
              <w:top w:val="single" w:sz="4" w:space="0" w:color="auto"/>
              <w:left w:val="single" w:sz="4" w:space="0" w:color="auto"/>
              <w:bottom w:val="single" w:sz="4" w:space="0" w:color="auto"/>
              <w:right w:val="single" w:sz="4" w:space="0" w:color="auto"/>
            </w:tcBorders>
          </w:tcPr>
          <w:p w:rsidR="0010549C" w:rsidRDefault="0010549C" w:rsidP="00B12A8C">
            <w:pPr>
              <w:snapToGrid w:val="0"/>
              <w:rPr>
                <w:rFonts w:cs="宋体"/>
                <w:color w:val="000000"/>
                <w:kern w:val="0"/>
                <w:sz w:val="24"/>
                <w:szCs w:val="24"/>
              </w:rPr>
            </w:pPr>
          </w:p>
        </w:tc>
      </w:tr>
      <w:tr w:rsidR="0010549C" w:rsidTr="00B12A8C">
        <w:trPr>
          <w:trHeight w:val="550"/>
        </w:trPr>
        <w:tc>
          <w:tcPr>
            <w:tcW w:w="8734" w:type="dxa"/>
            <w:gridSpan w:val="3"/>
            <w:tcBorders>
              <w:top w:val="single" w:sz="4" w:space="0" w:color="auto"/>
              <w:left w:val="single" w:sz="4" w:space="0" w:color="auto"/>
              <w:bottom w:val="single" w:sz="4" w:space="0" w:color="auto"/>
              <w:right w:val="single" w:sz="4" w:space="0" w:color="auto"/>
            </w:tcBorders>
            <w:hideMark/>
          </w:tcPr>
          <w:p w:rsidR="0010549C" w:rsidRDefault="0010549C" w:rsidP="00B12A8C">
            <w:pPr>
              <w:snapToGrid w:val="0"/>
              <w:jc w:val="center"/>
              <w:rPr>
                <w:rFonts w:cs="宋体"/>
                <w:color w:val="000000"/>
                <w:kern w:val="0"/>
                <w:sz w:val="24"/>
                <w:szCs w:val="24"/>
              </w:rPr>
            </w:pPr>
            <w:r>
              <w:rPr>
                <w:rFonts w:cs="宋体" w:hint="eastAsia"/>
                <w:color w:val="000000"/>
                <w:kern w:val="0"/>
                <w:sz w:val="24"/>
                <w:szCs w:val="24"/>
              </w:rPr>
              <w:t>申报机构请于</w:t>
            </w:r>
            <w:r>
              <w:rPr>
                <w:rFonts w:cs="宋体"/>
                <w:color w:val="000000"/>
                <w:kern w:val="0"/>
                <w:sz w:val="24"/>
                <w:szCs w:val="24"/>
              </w:rPr>
              <w:t xml:space="preserve">___ </w:t>
            </w:r>
            <w:r>
              <w:rPr>
                <w:rFonts w:cs="宋体" w:hint="eastAsia"/>
                <w:color w:val="000000"/>
                <w:kern w:val="0"/>
                <w:sz w:val="24"/>
                <w:szCs w:val="24"/>
              </w:rPr>
              <w:t>年</w:t>
            </w:r>
            <w:r>
              <w:rPr>
                <w:rFonts w:cs="宋体"/>
                <w:color w:val="000000"/>
                <w:kern w:val="0"/>
                <w:sz w:val="24"/>
                <w:szCs w:val="24"/>
              </w:rPr>
              <w:t xml:space="preserve">___ </w:t>
            </w:r>
            <w:r>
              <w:rPr>
                <w:rFonts w:cs="宋体" w:hint="eastAsia"/>
                <w:color w:val="000000"/>
                <w:kern w:val="0"/>
                <w:sz w:val="24"/>
                <w:szCs w:val="24"/>
              </w:rPr>
              <w:t>月</w:t>
            </w:r>
            <w:r>
              <w:rPr>
                <w:rFonts w:cs="宋体"/>
                <w:color w:val="000000"/>
                <w:kern w:val="0"/>
                <w:sz w:val="24"/>
                <w:szCs w:val="24"/>
              </w:rPr>
              <w:t>15</w:t>
            </w:r>
            <w:r>
              <w:rPr>
                <w:rFonts w:cs="宋体" w:hint="eastAsia"/>
                <w:color w:val="000000"/>
                <w:kern w:val="0"/>
                <w:sz w:val="24"/>
                <w:szCs w:val="24"/>
              </w:rPr>
              <w:t>日前将款项划入中国外汇交易中心账户</w:t>
            </w:r>
          </w:p>
        </w:tc>
      </w:tr>
    </w:tbl>
    <w:p w:rsidR="0010549C" w:rsidRDefault="0010549C" w:rsidP="0010549C">
      <w:pPr>
        <w:snapToGrid w:val="0"/>
        <w:rPr>
          <w:rFonts w:cs="宋体"/>
          <w:color w:val="000000"/>
          <w:kern w:val="0"/>
          <w:sz w:val="24"/>
          <w:szCs w:val="24"/>
        </w:rPr>
      </w:pPr>
      <w:r>
        <w:rPr>
          <w:rFonts w:cs="宋体"/>
          <w:color w:val="000000"/>
          <w:kern w:val="0"/>
          <w:sz w:val="24"/>
          <w:szCs w:val="24"/>
        </w:rPr>
        <w:t>*</w:t>
      </w:r>
      <w:r>
        <w:rPr>
          <w:rFonts w:cs="宋体" w:hint="eastAsia"/>
          <w:color w:val="000000"/>
          <w:kern w:val="0"/>
          <w:sz w:val="24"/>
          <w:szCs w:val="24"/>
        </w:rPr>
        <w:t>退款账户信息变更请及时告知中国外汇交易中心</w:t>
      </w:r>
      <w:r>
        <w:rPr>
          <w:rFonts w:cs="宋体"/>
          <w:color w:val="000000"/>
          <w:kern w:val="0"/>
          <w:sz w:val="24"/>
          <w:szCs w:val="24"/>
        </w:rPr>
        <w:t>,</w:t>
      </w:r>
      <w:r>
        <w:rPr>
          <w:rFonts w:cs="宋体" w:hint="eastAsia"/>
          <w:color w:val="000000"/>
          <w:kern w:val="0"/>
          <w:sz w:val="24"/>
          <w:szCs w:val="24"/>
        </w:rPr>
        <w:t>变更次月生效。</w:t>
      </w:r>
    </w:p>
    <w:p w:rsidR="0010549C" w:rsidRDefault="0010549C" w:rsidP="0010549C">
      <w:pPr>
        <w:widowControl/>
        <w:snapToGrid w:val="0"/>
        <w:spacing w:line="560" w:lineRule="exact"/>
        <w:jc w:val="left"/>
        <w:rPr>
          <w:rFonts w:ascii="仿宋_GB2312" w:cs="宋体"/>
          <w:color w:val="000000"/>
          <w:kern w:val="0"/>
          <w:szCs w:val="32"/>
        </w:rPr>
      </w:pPr>
      <w:r>
        <w:rPr>
          <w:rFonts w:cs="宋体"/>
          <w:color w:val="000000"/>
          <w:kern w:val="0"/>
          <w:sz w:val="24"/>
          <w:szCs w:val="24"/>
        </w:rPr>
        <w:br w:type="page"/>
      </w:r>
      <w:r>
        <w:rPr>
          <w:rFonts w:ascii="仿宋_GB2312" w:cs="宋体" w:hint="eastAsia"/>
          <w:color w:val="000000"/>
          <w:kern w:val="0"/>
          <w:szCs w:val="32"/>
        </w:rPr>
        <w:lastRenderedPageBreak/>
        <w:t>附表2</w:t>
      </w:r>
    </w:p>
    <w:p w:rsidR="0010549C" w:rsidRDefault="0010549C" w:rsidP="0010549C">
      <w:pPr>
        <w:snapToGrid w:val="0"/>
        <w:spacing w:line="560" w:lineRule="exact"/>
        <w:jc w:val="center"/>
        <w:rPr>
          <w:rFonts w:ascii="黑体" w:eastAsia="黑体" w:hAnsi="黑体"/>
          <w:b/>
          <w:szCs w:val="32"/>
        </w:rPr>
      </w:pPr>
      <w:r>
        <w:rPr>
          <w:rFonts w:ascii="黑体" w:eastAsia="黑体" w:hAnsi="黑体" w:hint="eastAsia"/>
          <w:b/>
          <w:szCs w:val="32"/>
        </w:rPr>
        <w:t>划付外汇交易中心风险准备金MT202报文模板</w:t>
      </w:r>
    </w:p>
    <w:p w:rsidR="0010549C" w:rsidRDefault="0010549C" w:rsidP="0010549C">
      <w:pPr>
        <w:snapToGrid w:val="0"/>
        <w:spacing w:line="560" w:lineRule="exact"/>
        <w:jc w:val="center"/>
        <w:rPr>
          <w:rFonts w:ascii="仿宋_GB2312"/>
          <w:b/>
          <w:sz w:val="28"/>
          <w:szCs w:val="28"/>
        </w:rPr>
      </w:pPr>
    </w:p>
    <w:tbl>
      <w:tblPr>
        <w:tblW w:w="5000" w:type="pct"/>
        <w:tblLook w:val="04A0"/>
      </w:tblPr>
      <w:tblGrid>
        <w:gridCol w:w="776"/>
        <w:gridCol w:w="2728"/>
        <w:gridCol w:w="3017"/>
        <w:gridCol w:w="2001"/>
      </w:tblGrid>
      <w:tr w:rsidR="0010549C" w:rsidTr="00B12A8C">
        <w:trPr>
          <w:trHeight w:val="375"/>
        </w:trPr>
        <w:tc>
          <w:tcPr>
            <w:tcW w:w="5000" w:type="pct"/>
            <w:gridSpan w:val="4"/>
            <w:tcBorders>
              <w:top w:val="single" w:sz="8" w:space="0" w:color="auto"/>
              <w:left w:val="single" w:sz="8" w:space="0" w:color="auto"/>
              <w:bottom w:val="single" w:sz="8" w:space="0" w:color="auto"/>
              <w:right w:val="single" w:sz="8" w:space="0" w:color="000000"/>
            </w:tcBorders>
            <w:shd w:val="clear" w:color="auto" w:fill="FFFF00"/>
            <w:noWrap/>
            <w:vAlign w:val="center"/>
            <w:hideMark/>
          </w:tcPr>
          <w:p w:rsidR="0010549C" w:rsidRDefault="0010549C" w:rsidP="00B12A8C">
            <w:pPr>
              <w:widowControl/>
              <w:snapToGrid w:val="0"/>
              <w:jc w:val="center"/>
              <w:rPr>
                <w:rFonts w:ascii="仿宋_GB2312" w:cs="Calibri"/>
                <w:b/>
                <w:bCs/>
                <w:color w:val="000000"/>
                <w:kern w:val="0"/>
                <w:sz w:val="28"/>
                <w:szCs w:val="28"/>
              </w:rPr>
            </w:pPr>
            <w:r>
              <w:rPr>
                <w:rFonts w:ascii="仿宋_GB2312" w:cs="Calibri" w:hint="eastAsia"/>
                <w:b/>
                <w:bCs/>
                <w:color w:val="000000"/>
                <w:kern w:val="0"/>
                <w:sz w:val="28"/>
                <w:szCs w:val="28"/>
              </w:rPr>
              <w:t>MT202 Message Sample</w:t>
            </w:r>
          </w:p>
        </w:tc>
      </w:tr>
      <w:tr w:rsidR="0010549C" w:rsidTr="00B12A8C">
        <w:trPr>
          <w:trHeight w:val="600"/>
        </w:trPr>
        <w:tc>
          <w:tcPr>
            <w:tcW w:w="2056" w:type="pct"/>
            <w:gridSpan w:val="2"/>
            <w:tcBorders>
              <w:top w:val="nil"/>
              <w:left w:val="single" w:sz="8" w:space="0" w:color="auto"/>
              <w:bottom w:val="single" w:sz="4" w:space="0" w:color="auto"/>
              <w:right w:val="single" w:sz="4" w:space="0" w:color="000000"/>
            </w:tcBorders>
            <w:vAlign w:val="center"/>
            <w:hideMark/>
          </w:tcPr>
          <w:p w:rsidR="0010549C" w:rsidRDefault="0010549C" w:rsidP="00B12A8C">
            <w:pPr>
              <w:widowControl/>
              <w:snapToGrid w:val="0"/>
              <w:jc w:val="center"/>
              <w:rPr>
                <w:rFonts w:ascii="仿宋_GB2312" w:cs="Calibri"/>
                <w:b/>
                <w:bCs/>
                <w:color w:val="000000"/>
                <w:kern w:val="0"/>
                <w:sz w:val="28"/>
                <w:szCs w:val="28"/>
              </w:rPr>
            </w:pPr>
            <w:r>
              <w:rPr>
                <w:rFonts w:ascii="仿宋_GB2312" w:cs="Calibri" w:hint="eastAsia"/>
                <w:b/>
                <w:bCs/>
                <w:color w:val="000000"/>
                <w:kern w:val="0"/>
                <w:sz w:val="28"/>
                <w:szCs w:val="28"/>
              </w:rPr>
              <w:t>MT202 elements</w:t>
            </w:r>
          </w:p>
        </w:tc>
        <w:tc>
          <w:tcPr>
            <w:tcW w:w="1770"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b/>
                <w:bCs/>
                <w:color w:val="000000"/>
                <w:kern w:val="0"/>
                <w:sz w:val="28"/>
                <w:szCs w:val="28"/>
              </w:rPr>
            </w:pPr>
            <w:r>
              <w:rPr>
                <w:rFonts w:ascii="仿宋_GB2312" w:cs="Calibri" w:hint="eastAsia"/>
                <w:b/>
                <w:bCs/>
                <w:color w:val="000000"/>
                <w:kern w:val="0"/>
                <w:sz w:val="28"/>
                <w:szCs w:val="28"/>
              </w:rPr>
              <w:t>样例</w:t>
            </w:r>
          </w:p>
        </w:tc>
        <w:tc>
          <w:tcPr>
            <w:tcW w:w="1174"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b/>
                <w:bCs/>
                <w:color w:val="000000"/>
                <w:kern w:val="0"/>
                <w:sz w:val="28"/>
                <w:szCs w:val="28"/>
              </w:rPr>
            </w:pPr>
            <w:r>
              <w:rPr>
                <w:rFonts w:ascii="仿宋_GB2312" w:cs="Calibri" w:hint="eastAsia"/>
                <w:b/>
                <w:bCs/>
                <w:color w:val="000000"/>
                <w:kern w:val="0"/>
                <w:sz w:val="28"/>
                <w:szCs w:val="28"/>
              </w:rPr>
              <w:t>说明</w:t>
            </w:r>
          </w:p>
        </w:tc>
      </w:tr>
      <w:tr w:rsidR="0010549C" w:rsidTr="00B12A8C">
        <w:trPr>
          <w:trHeight w:val="300"/>
        </w:trPr>
        <w:tc>
          <w:tcPr>
            <w:tcW w:w="455" w:type="pct"/>
            <w:tcBorders>
              <w:top w:val="nil"/>
              <w:left w:val="single" w:sz="8" w:space="0" w:color="auto"/>
              <w:bottom w:val="single" w:sz="4" w:space="0" w:color="auto"/>
              <w:right w:val="single" w:sz="4" w:space="0" w:color="auto"/>
            </w:tcBorders>
            <w:vAlign w:val="center"/>
            <w:hideMark/>
          </w:tcPr>
          <w:p w:rsidR="0010549C" w:rsidRDefault="0010549C" w:rsidP="00B12A8C">
            <w:pPr>
              <w:widowControl/>
              <w:snapToGrid w:val="0"/>
              <w:jc w:val="left"/>
              <w:rPr>
                <w:rFonts w:ascii="仿宋_GB2312" w:hAnsi="Courier New" w:cs="Courier New"/>
                <w:color w:val="000000"/>
                <w:kern w:val="0"/>
                <w:sz w:val="28"/>
                <w:szCs w:val="28"/>
              </w:rPr>
            </w:pPr>
            <w:r>
              <w:rPr>
                <w:rFonts w:ascii="仿宋_GB2312" w:hAnsi="Courier New" w:cs="Courier New" w:hint="eastAsia"/>
                <w:color w:val="000000"/>
                <w:kern w:val="0"/>
                <w:sz w:val="28"/>
                <w:szCs w:val="28"/>
              </w:rPr>
              <w:t xml:space="preserve">  32A: </w:t>
            </w:r>
          </w:p>
        </w:tc>
        <w:tc>
          <w:tcPr>
            <w:tcW w:w="1601"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color w:val="000000"/>
                <w:kern w:val="0"/>
                <w:sz w:val="28"/>
                <w:szCs w:val="28"/>
              </w:rPr>
            </w:pPr>
            <w:r>
              <w:rPr>
                <w:rFonts w:ascii="仿宋_GB2312" w:cs="Calibri" w:hint="eastAsia"/>
                <w:color w:val="000000"/>
                <w:kern w:val="0"/>
                <w:sz w:val="28"/>
                <w:szCs w:val="28"/>
              </w:rPr>
              <w:t>Value date/Currency Code/Amount</w:t>
            </w:r>
          </w:p>
        </w:tc>
        <w:tc>
          <w:tcPr>
            <w:tcW w:w="1770"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color w:val="000000"/>
                <w:kern w:val="0"/>
                <w:sz w:val="28"/>
                <w:szCs w:val="28"/>
              </w:rPr>
            </w:pPr>
            <w:r>
              <w:rPr>
                <w:rFonts w:ascii="仿宋_GB2312" w:cs="Calibri" w:hint="eastAsia"/>
                <w:color w:val="000000"/>
                <w:kern w:val="0"/>
                <w:sz w:val="28"/>
                <w:szCs w:val="28"/>
              </w:rPr>
              <w:t>160815USD21171679.01</w:t>
            </w:r>
          </w:p>
        </w:tc>
        <w:tc>
          <w:tcPr>
            <w:tcW w:w="1174"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color w:val="000000"/>
                <w:kern w:val="0"/>
                <w:sz w:val="28"/>
                <w:szCs w:val="28"/>
              </w:rPr>
            </w:pPr>
            <w:r>
              <w:rPr>
                <w:rFonts w:ascii="仿宋_GB2312" w:cs="Calibri" w:hint="eastAsia"/>
                <w:color w:val="000000"/>
                <w:kern w:val="0"/>
                <w:sz w:val="28"/>
                <w:szCs w:val="28"/>
              </w:rPr>
              <w:t>起息日、币种、金额</w:t>
            </w:r>
          </w:p>
        </w:tc>
      </w:tr>
      <w:tr w:rsidR="0010549C" w:rsidTr="00B12A8C">
        <w:trPr>
          <w:trHeight w:val="2025"/>
        </w:trPr>
        <w:tc>
          <w:tcPr>
            <w:tcW w:w="455" w:type="pct"/>
            <w:tcBorders>
              <w:top w:val="nil"/>
              <w:left w:val="single" w:sz="8" w:space="0" w:color="auto"/>
              <w:bottom w:val="single" w:sz="4" w:space="0" w:color="auto"/>
              <w:right w:val="single" w:sz="4" w:space="0" w:color="auto"/>
            </w:tcBorders>
            <w:vAlign w:val="center"/>
            <w:hideMark/>
          </w:tcPr>
          <w:p w:rsidR="0010549C" w:rsidRDefault="0010549C" w:rsidP="00B12A8C">
            <w:pPr>
              <w:widowControl/>
              <w:snapToGrid w:val="0"/>
              <w:jc w:val="left"/>
              <w:rPr>
                <w:rFonts w:ascii="仿宋_GB2312" w:hAnsi="Courier New" w:cs="Courier New"/>
                <w:color w:val="000000"/>
                <w:kern w:val="0"/>
                <w:sz w:val="28"/>
                <w:szCs w:val="28"/>
              </w:rPr>
            </w:pPr>
            <w:r>
              <w:rPr>
                <w:rFonts w:ascii="仿宋_GB2312" w:hAnsi="Courier New" w:cs="Courier New" w:hint="eastAsia"/>
                <w:color w:val="000000"/>
                <w:kern w:val="0"/>
                <w:sz w:val="28"/>
                <w:szCs w:val="28"/>
              </w:rPr>
              <w:t xml:space="preserve">  57A: </w:t>
            </w:r>
          </w:p>
        </w:tc>
        <w:tc>
          <w:tcPr>
            <w:tcW w:w="1601"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color w:val="000000"/>
                <w:kern w:val="0"/>
                <w:sz w:val="28"/>
                <w:szCs w:val="28"/>
              </w:rPr>
            </w:pPr>
            <w:r>
              <w:rPr>
                <w:rFonts w:ascii="仿宋_GB2312" w:cs="Calibri" w:hint="eastAsia"/>
                <w:color w:val="000000"/>
                <w:kern w:val="0"/>
                <w:sz w:val="28"/>
                <w:szCs w:val="28"/>
              </w:rPr>
              <w:t>Account With Institution</w:t>
            </w:r>
          </w:p>
        </w:tc>
        <w:tc>
          <w:tcPr>
            <w:tcW w:w="1770"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color w:val="000000"/>
                <w:kern w:val="0"/>
                <w:sz w:val="28"/>
                <w:szCs w:val="28"/>
              </w:rPr>
            </w:pPr>
            <w:r>
              <w:rPr>
                <w:rFonts w:ascii="仿宋_GB2312" w:cs="Calibri" w:hint="eastAsia"/>
                <w:color w:val="000000"/>
                <w:kern w:val="0"/>
                <w:sz w:val="28"/>
                <w:szCs w:val="28"/>
              </w:rPr>
              <w:t>BKCHCNBJ300</w:t>
            </w:r>
          </w:p>
        </w:tc>
        <w:tc>
          <w:tcPr>
            <w:tcW w:w="1174"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color w:val="FF0000"/>
                <w:kern w:val="0"/>
                <w:sz w:val="28"/>
                <w:szCs w:val="28"/>
              </w:rPr>
            </w:pPr>
            <w:r>
              <w:rPr>
                <w:rFonts w:ascii="仿宋_GB2312" w:cs="Calibri" w:hint="eastAsia"/>
                <w:kern w:val="0"/>
                <w:sz w:val="28"/>
                <w:szCs w:val="28"/>
              </w:rPr>
              <w:t>中国银行上海分行BIC</w:t>
            </w:r>
          </w:p>
        </w:tc>
      </w:tr>
      <w:tr w:rsidR="0010549C" w:rsidTr="00B12A8C">
        <w:trPr>
          <w:trHeight w:val="300"/>
        </w:trPr>
        <w:tc>
          <w:tcPr>
            <w:tcW w:w="455" w:type="pct"/>
            <w:vMerge w:val="restart"/>
            <w:tcBorders>
              <w:top w:val="nil"/>
              <w:left w:val="single" w:sz="8" w:space="0" w:color="auto"/>
              <w:bottom w:val="single" w:sz="4" w:space="0" w:color="auto"/>
              <w:right w:val="single" w:sz="4" w:space="0" w:color="auto"/>
            </w:tcBorders>
            <w:vAlign w:val="center"/>
            <w:hideMark/>
          </w:tcPr>
          <w:p w:rsidR="0010549C" w:rsidRDefault="0010549C" w:rsidP="00B12A8C">
            <w:pPr>
              <w:widowControl/>
              <w:snapToGrid w:val="0"/>
              <w:jc w:val="left"/>
              <w:rPr>
                <w:rFonts w:ascii="仿宋_GB2312" w:hAnsi="Courier New" w:cs="Courier New"/>
                <w:color w:val="000000"/>
                <w:kern w:val="0"/>
                <w:sz w:val="28"/>
                <w:szCs w:val="28"/>
              </w:rPr>
            </w:pPr>
            <w:r>
              <w:rPr>
                <w:rFonts w:ascii="仿宋_GB2312" w:hAnsi="Courier New" w:cs="Courier New" w:hint="eastAsia"/>
                <w:color w:val="000000"/>
                <w:kern w:val="0"/>
                <w:sz w:val="28"/>
                <w:szCs w:val="28"/>
              </w:rPr>
              <w:t xml:space="preserve">  58A: </w:t>
            </w:r>
          </w:p>
        </w:tc>
        <w:tc>
          <w:tcPr>
            <w:tcW w:w="1601"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color w:val="000000"/>
                <w:kern w:val="0"/>
                <w:sz w:val="28"/>
                <w:szCs w:val="28"/>
              </w:rPr>
            </w:pPr>
            <w:r>
              <w:rPr>
                <w:rFonts w:ascii="仿宋_GB2312" w:cs="Calibri" w:hint="eastAsia"/>
                <w:color w:val="000000"/>
                <w:kern w:val="0"/>
                <w:sz w:val="28"/>
                <w:szCs w:val="28"/>
              </w:rPr>
              <w:t>Beneficiary Institution</w:t>
            </w:r>
          </w:p>
        </w:tc>
        <w:tc>
          <w:tcPr>
            <w:tcW w:w="1770"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color w:val="000000"/>
                <w:kern w:val="0"/>
                <w:sz w:val="28"/>
                <w:szCs w:val="28"/>
              </w:rPr>
            </w:pPr>
            <w:r>
              <w:rPr>
                <w:rFonts w:ascii="仿宋_GB2312" w:cs="Calibri" w:hint="eastAsia"/>
                <w:color w:val="000000"/>
                <w:kern w:val="0"/>
                <w:sz w:val="28"/>
                <w:szCs w:val="28"/>
              </w:rPr>
              <w:t>/433871773897</w:t>
            </w:r>
          </w:p>
        </w:tc>
        <w:tc>
          <w:tcPr>
            <w:tcW w:w="1174"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color w:val="000000"/>
                <w:kern w:val="0"/>
                <w:sz w:val="28"/>
                <w:szCs w:val="28"/>
              </w:rPr>
            </w:pPr>
            <w:r>
              <w:rPr>
                <w:rFonts w:ascii="仿宋_GB2312" w:cs="Calibri" w:hint="eastAsia"/>
                <w:color w:val="000000"/>
                <w:kern w:val="0"/>
                <w:sz w:val="28"/>
                <w:szCs w:val="28"/>
              </w:rPr>
              <w:t>外汇交易中心在中国银行上海分行的账号</w:t>
            </w:r>
          </w:p>
        </w:tc>
      </w:tr>
      <w:tr w:rsidR="0010549C" w:rsidTr="00B12A8C">
        <w:trPr>
          <w:trHeight w:val="300"/>
        </w:trPr>
        <w:tc>
          <w:tcPr>
            <w:tcW w:w="0" w:type="auto"/>
            <w:vMerge/>
            <w:tcBorders>
              <w:top w:val="nil"/>
              <w:left w:val="single" w:sz="8" w:space="0" w:color="auto"/>
              <w:bottom w:val="single" w:sz="4" w:space="0" w:color="auto"/>
              <w:right w:val="single" w:sz="4" w:space="0" w:color="auto"/>
            </w:tcBorders>
            <w:vAlign w:val="center"/>
            <w:hideMark/>
          </w:tcPr>
          <w:p w:rsidR="0010549C" w:rsidRDefault="0010549C" w:rsidP="00B12A8C">
            <w:pPr>
              <w:widowControl/>
              <w:jc w:val="left"/>
              <w:rPr>
                <w:rFonts w:ascii="仿宋_GB2312" w:hAnsi="Courier New" w:cs="Courier New"/>
                <w:color w:val="000000"/>
                <w:kern w:val="0"/>
                <w:sz w:val="28"/>
                <w:szCs w:val="28"/>
              </w:rPr>
            </w:pPr>
          </w:p>
        </w:tc>
        <w:tc>
          <w:tcPr>
            <w:tcW w:w="1601" w:type="pct"/>
            <w:tcBorders>
              <w:top w:val="nil"/>
              <w:left w:val="nil"/>
              <w:bottom w:val="single" w:sz="4" w:space="0" w:color="auto"/>
              <w:right w:val="single" w:sz="4" w:space="0" w:color="auto"/>
            </w:tcBorders>
            <w:vAlign w:val="center"/>
            <w:hideMark/>
          </w:tcPr>
          <w:p w:rsidR="0010549C" w:rsidRDefault="0010549C" w:rsidP="00B12A8C">
            <w:pPr>
              <w:widowControl/>
              <w:jc w:val="left"/>
              <w:rPr>
                <w:rFonts w:asciiTheme="minorHAnsi" w:eastAsiaTheme="minorEastAsia" w:hAnsiTheme="minorHAnsi" w:cstheme="minorBidi"/>
                <w:sz w:val="21"/>
                <w:szCs w:val="22"/>
              </w:rPr>
            </w:pPr>
          </w:p>
        </w:tc>
        <w:tc>
          <w:tcPr>
            <w:tcW w:w="1770"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color w:val="000000"/>
                <w:kern w:val="0"/>
                <w:sz w:val="28"/>
                <w:szCs w:val="28"/>
              </w:rPr>
            </w:pPr>
            <w:r>
              <w:rPr>
                <w:rFonts w:ascii="仿宋_GB2312" w:cs="Calibri" w:hint="eastAsia"/>
                <w:color w:val="000000"/>
                <w:kern w:val="0"/>
                <w:sz w:val="28"/>
                <w:szCs w:val="28"/>
              </w:rPr>
              <w:t>PBOCCNSFCFX</w:t>
            </w:r>
          </w:p>
        </w:tc>
        <w:tc>
          <w:tcPr>
            <w:tcW w:w="1174"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color w:val="000000"/>
                <w:kern w:val="0"/>
                <w:sz w:val="28"/>
                <w:szCs w:val="28"/>
              </w:rPr>
            </w:pPr>
            <w:r>
              <w:rPr>
                <w:rFonts w:ascii="仿宋_GB2312" w:cs="Calibri" w:hint="eastAsia"/>
                <w:color w:val="000000"/>
                <w:kern w:val="0"/>
                <w:sz w:val="28"/>
                <w:szCs w:val="28"/>
              </w:rPr>
              <w:t>外汇交易中心BIC</w:t>
            </w:r>
          </w:p>
        </w:tc>
      </w:tr>
      <w:tr w:rsidR="0010549C" w:rsidTr="00B12A8C">
        <w:trPr>
          <w:trHeight w:val="1215"/>
        </w:trPr>
        <w:tc>
          <w:tcPr>
            <w:tcW w:w="455" w:type="pct"/>
            <w:tcBorders>
              <w:top w:val="nil"/>
              <w:left w:val="single" w:sz="8" w:space="0" w:color="auto"/>
              <w:bottom w:val="single" w:sz="8" w:space="0" w:color="auto"/>
              <w:right w:val="single" w:sz="4" w:space="0" w:color="auto"/>
            </w:tcBorders>
            <w:vAlign w:val="center"/>
            <w:hideMark/>
          </w:tcPr>
          <w:p w:rsidR="0010549C" w:rsidRDefault="0010549C" w:rsidP="00B12A8C">
            <w:pPr>
              <w:widowControl/>
              <w:snapToGrid w:val="0"/>
              <w:jc w:val="left"/>
              <w:rPr>
                <w:rFonts w:ascii="仿宋_GB2312" w:hAnsi="Courier New" w:cs="Courier New"/>
                <w:color w:val="000000"/>
                <w:kern w:val="0"/>
                <w:sz w:val="28"/>
                <w:szCs w:val="28"/>
              </w:rPr>
            </w:pPr>
            <w:r>
              <w:rPr>
                <w:rFonts w:ascii="仿宋_GB2312" w:hAnsi="Courier New" w:cs="Courier New" w:hint="eastAsia"/>
                <w:color w:val="000000"/>
                <w:kern w:val="0"/>
                <w:sz w:val="28"/>
                <w:szCs w:val="28"/>
              </w:rPr>
              <w:t xml:space="preserve">  72: </w:t>
            </w:r>
          </w:p>
        </w:tc>
        <w:tc>
          <w:tcPr>
            <w:tcW w:w="1601"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color w:val="000000"/>
                <w:kern w:val="0"/>
                <w:sz w:val="28"/>
                <w:szCs w:val="28"/>
              </w:rPr>
            </w:pPr>
            <w:r>
              <w:rPr>
                <w:rFonts w:ascii="仿宋_GB2312" w:cs="Calibri" w:hint="eastAsia"/>
                <w:color w:val="000000"/>
                <w:kern w:val="0"/>
                <w:sz w:val="28"/>
                <w:szCs w:val="28"/>
              </w:rPr>
              <w:t>Sender to Receiver Information</w:t>
            </w:r>
          </w:p>
        </w:tc>
        <w:tc>
          <w:tcPr>
            <w:tcW w:w="1770"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color w:val="000000"/>
                <w:kern w:val="0"/>
                <w:sz w:val="28"/>
                <w:szCs w:val="28"/>
              </w:rPr>
            </w:pPr>
            <w:r>
              <w:rPr>
                <w:rFonts w:ascii="仿宋_GB2312" w:cs="Calibri" w:hint="eastAsia"/>
                <w:color w:val="000000"/>
                <w:kern w:val="0"/>
                <w:sz w:val="28"/>
                <w:szCs w:val="28"/>
              </w:rPr>
              <w:t>/BNF/CFETS</w:t>
            </w:r>
          </w:p>
        </w:tc>
        <w:tc>
          <w:tcPr>
            <w:tcW w:w="1174" w:type="pct"/>
            <w:tcBorders>
              <w:top w:val="nil"/>
              <w:left w:val="nil"/>
              <w:bottom w:val="single" w:sz="4" w:space="0" w:color="auto"/>
              <w:right w:val="single" w:sz="4" w:space="0" w:color="auto"/>
            </w:tcBorders>
            <w:vAlign w:val="center"/>
            <w:hideMark/>
          </w:tcPr>
          <w:p w:rsidR="0010549C" w:rsidRDefault="0010549C" w:rsidP="00B12A8C">
            <w:pPr>
              <w:widowControl/>
              <w:snapToGrid w:val="0"/>
              <w:jc w:val="left"/>
              <w:rPr>
                <w:rFonts w:ascii="仿宋_GB2312" w:cs="Calibri"/>
                <w:color w:val="000000"/>
                <w:kern w:val="0"/>
                <w:sz w:val="28"/>
                <w:szCs w:val="28"/>
              </w:rPr>
            </w:pPr>
            <w:r>
              <w:rPr>
                <w:rFonts w:ascii="仿宋_GB2312" w:cs="Calibri" w:hint="eastAsia"/>
                <w:color w:val="000000"/>
                <w:kern w:val="0"/>
                <w:sz w:val="28"/>
                <w:szCs w:val="28"/>
              </w:rPr>
              <w:t>(该栏位为交易附言，必须填写)</w:t>
            </w:r>
          </w:p>
        </w:tc>
      </w:tr>
    </w:tbl>
    <w:p w:rsidR="0010549C" w:rsidRDefault="0010549C" w:rsidP="0010549C">
      <w:pPr>
        <w:snapToGrid w:val="0"/>
        <w:rPr>
          <w:rFonts w:ascii="仿宋_GB2312"/>
          <w:sz w:val="28"/>
          <w:szCs w:val="28"/>
        </w:rPr>
      </w:pPr>
      <w:r>
        <w:rPr>
          <w:rFonts w:ascii="仿宋_GB2312" w:hint="eastAsia"/>
          <w:sz w:val="24"/>
          <w:szCs w:val="24"/>
        </w:rPr>
        <w:t>注：</w:t>
      </w:r>
      <w:r>
        <w:rPr>
          <w:rFonts w:ascii="仿宋_GB2312" w:cs="宋体" w:hint="eastAsia"/>
          <w:color w:val="000000"/>
          <w:kern w:val="0"/>
          <w:sz w:val="24"/>
          <w:szCs w:val="24"/>
        </w:rPr>
        <w:t>境外金融机构应于北京时间每月15日前将外汇风险准备金划至交易中心外汇风险准备金专用账户，争取到账时间不迟于北京时间每月15日中午12点，遇中美节假日则顺延至下一个中美共同工作日。</w:t>
      </w:r>
    </w:p>
    <w:p w:rsidR="0010549C" w:rsidRDefault="0010549C" w:rsidP="0010549C">
      <w:pPr>
        <w:widowControl/>
        <w:snapToGrid w:val="0"/>
        <w:spacing w:line="560" w:lineRule="exact"/>
        <w:jc w:val="left"/>
        <w:rPr>
          <w:rFonts w:ascii="仿宋_GB2312" w:cs="宋体"/>
          <w:color w:val="000000"/>
          <w:kern w:val="0"/>
          <w:szCs w:val="32"/>
        </w:rPr>
      </w:pPr>
      <w:r>
        <w:rPr>
          <w:rFonts w:ascii="黑体" w:eastAsia="黑体" w:hAnsi="黑体" w:cs="宋体" w:hint="eastAsia"/>
          <w:color w:val="000000"/>
          <w:kern w:val="0"/>
          <w:sz w:val="28"/>
          <w:szCs w:val="28"/>
        </w:rPr>
        <w:br w:type="page"/>
      </w:r>
      <w:r>
        <w:rPr>
          <w:rFonts w:ascii="仿宋_GB2312" w:cs="宋体" w:hint="eastAsia"/>
          <w:color w:val="000000"/>
          <w:kern w:val="0"/>
          <w:szCs w:val="32"/>
        </w:rPr>
        <w:lastRenderedPageBreak/>
        <w:t>附表3</w:t>
      </w:r>
    </w:p>
    <w:p w:rsidR="0010549C" w:rsidRDefault="0010549C" w:rsidP="0010549C">
      <w:pPr>
        <w:snapToGrid w:val="0"/>
        <w:spacing w:line="560" w:lineRule="exact"/>
        <w:jc w:val="center"/>
        <w:rPr>
          <w:rFonts w:ascii="黑体" w:eastAsia="黑体" w:hAnsi="黑体"/>
          <w:b/>
          <w:szCs w:val="32"/>
        </w:rPr>
      </w:pPr>
      <w:r>
        <w:rPr>
          <w:rFonts w:ascii="黑体" w:eastAsia="黑体" w:hAnsi="黑体" w:hint="eastAsia"/>
          <w:b/>
          <w:szCs w:val="32"/>
        </w:rPr>
        <w:t>境外金融机构外汇风险准备金退划账户变更情况表</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7"/>
        <w:gridCol w:w="1136"/>
        <w:gridCol w:w="2490"/>
        <w:gridCol w:w="47"/>
        <w:gridCol w:w="1372"/>
        <w:gridCol w:w="1813"/>
      </w:tblGrid>
      <w:tr w:rsidR="0010549C" w:rsidTr="00B12A8C">
        <w:trPr>
          <w:cantSplit/>
          <w:trHeight w:val="419"/>
        </w:trPr>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jc w:val="distribute"/>
              <w:rPr>
                <w:rFonts w:ascii="仿宋_GB2312"/>
                <w:sz w:val="24"/>
              </w:rPr>
            </w:pPr>
            <w:r>
              <w:rPr>
                <w:rFonts w:ascii="仿宋_GB2312" w:hint="eastAsia"/>
                <w:sz w:val="24"/>
              </w:rPr>
              <w:t>会员名称</w:t>
            </w:r>
          </w:p>
        </w:tc>
        <w:tc>
          <w:tcPr>
            <w:tcW w:w="6858" w:type="dxa"/>
            <w:gridSpan w:val="5"/>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(中文)</w:t>
            </w:r>
            <w:r w:rsidRPr="008D184B">
              <w:rPr>
                <w:rFonts w:ascii="仿宋_GB2312" w:hint="eastAsia"/>
                <w:sz w:val="24"/>
              </w:rPr>
              <w:fldChar w:fldCharType="begin">
                <w:ffData>
                  <w:name w:val="Text56"/>
                  <w:enabled/>
                  <w:calcOnExit w:val="0"/>
                  <w:textInput/>
                </w:ffData>
              </w:fldChar>
            </w:r>
            <w:bookmarkStart w:id="16" w:name="Text56"/>
            <w:r>
              <w:rPr>
                <w:rFonts w:ascii="仿宋_GB2312" w:hint="eastAsia"/>
                <w:sz w:val="24"/>
              </w:rPr>
              <w:instrText xml:space="preserve"> FORMTEXT </w:instrText>
            </w:r>
            <w:r w:rsidRPr="008D184B">
              <w:rPr>
                <w:rFonts w:ascii="仿宋_GB2312" w:hint="eastAsia"/>
                <w:sz w:val="24"/>
              </w:rPr>
            </w:r>
            <w:r w:rsidRPr="008D184B">
              <w:rPr>
                <w:rFonts w:ascii="仿宋_GB2312" w:hint="eastAsia"/>
                <w:sz w:val="24"/>
              </w:rPr>
              <w:fldChar w:fldCharType="separate"/>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hint="eastAsia"/>
              </w:rPr>
              <w:fldChar w:fldCharType="end"/>
            </w:r>
            <w:bookmarkEnd w:id="16"/>
          </w:p>
        </w:tc>
      </w:tr>
      <w:tr w:rsidR="0010549C" w:rsidTr="00B12A8C">
        <w:trPr>
          <w:cantSplit/>
          <w:trHeight w:val="43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6858" w:type="dxa"/>
            <w:gridSpan w:val="5"/>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(英文)</w:t>
            </w:r>
            <w:r w:rsidRPr="008D184B">
              <w:rPr>
                <w:rFonts w:ascii="仿宋_GB2312" w:hint="eastAsia"/>
                <w:sz w:val="24"/>
              </w:rPr>
              <w:fldChar w:fldCharType="begin">
                <w:ffData>
                  <w:name w:val="Text57"/>
                  <w:enabled/>
                  <w:calcOnExit w:val="0"/>
                  <w:textInput/>
                </w:ffData>
              </w:fldChar>
            </w:r>
            <w:bookmarkStart w:id="17" w:name="Text57"/>
            <w:r>
              <w:rPr>
                <w:rFonts w:ascii="仿宋_GB2312" w:hint="eastAsia"/>
                <w:sz w:val="24"/>
              </w:rPr>
              <w:instrText xml:space="preserve"> FORMTEXT </w:instrText>
            </w:r>
            <w:r w:rsidRPr="008D184B">
              <w:rPr>
                <w:rFonts w:ascii="仿宋_GB2312" w:hint="eastAsia"/>
                <w:sz w:val="24"/>
              </w:rPr>
            </w:r>
            <w:r w:rsidRPr="008D184B">
              <w:rPr>
                <w:rFonts w:ascii="仿宋_GB2312" w:hint="eastAsia"/>
                <w:sz w:val="24"/>
              </w:rPr>
              <w:fldChar w:fldCharType="separate"/>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hint="eastAsia"/>
              </w:rPr>
              <w:fldChar w:fldCharType="end"/>
            </w:r>
            <w:bookmarkEnd w:id="17"/>
          </w:p>
        </w:tc>
      </w:tr>
      <w:tr w:rsidR="0010549C" w:rsidTr="00B12A8C">
        <w:trPr>
          <w:cantSplit/>
          <w:trHeight w:val="411"/>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6858" w:type="dxa"/>
            <w:gridSpan w:val="5"/>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(SWIFT BIC CODE)</w:t>
            </w:r>
            <w:r w:rsidRPr="008D184B">
              <w:rPr>
                <w:rFonts w:ascii="仿宋_GB2312" w:hint="eastAsia"/>
                <w:sz w:val="24"/>
              </w:rPr>
              <w:fldChar w:fldCharType="begin">
                <w:ffData>
                  <w:name w:val="Text58"/>
                  <w:enabled/>
                  <w:calcOnExit w:val="0"/>
                  <w:textInput/>
                </w:ffData>
              </w:fldChar>
            </w:r>
            <w:bookmarkStart w:id="18" w:name="Text58"/>
            <w:r>
              <w:rPr>
                <w:rFonts w:ascii="仿宋_GB2312" w:hint="eastAsia"/>
                <w:sz w:val="24"/>
              </w:rPr>
              <w:instrText xml:space="preserve"> FORMTEXT </w:instrText>
            </w:r>
            <w:r w:rsidRPr="008D184B">
              <w:rPr>
                <w:rFonts w:ascii="仿宋_GB2312" w:hint="eastAsia"/>
                <w:sz w:val="24"/>
              </w:rPr>
            </w:r>
            <w:r w:rsidRPr="008D184B">
              <w:rPr>
                <w:rFonts w:ascii="仿宋_GB2312" w:hint="eastAsia"/>
                <w:sz w:val="24"/>
              </w:rPr>
              <w:fldChar w:fldCharType="separate"/>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hint="eastAsia"/>
              </w:rPr>
              <w:fldChar w:fldCharType="end"/>
            </w:r>
            <w:bookmarkEnd w:id="18"/>
          </w:p>
        </w:tc>
      </w:tr>
      <w:tr w:rsidR="0010549C" w:rsidTr="00B12A8C">
        <w:trPr>
          <w:cantSplit/>
          <w:trHeight w:val="449"/>
        </w:trPr>
        <w:tc>
          <w:tcPr>
            <w:tcW w:w="1438" w:type="dxa"/>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jc w:val="distribute"/>
              <w:rPr>
                <w:rFonts w:ascii="仿宋_GB2312"/>
                <w:sz w:val="24"/>
              </w:rPr>
            </w:pPr>
            <w:r>
              <w:rPr>
                <w:rFonts w:ascii="仿宋_GB2312" w:hint="eastAsia"/>
                <w:sz w:val="24"/>
              </w:rPr>
              <w:t>清算部门</w:t>
            </w:r>
          </w:p>
        </w:tc>
        <w:tc>
          <w:tcPr>
            <w:tcW w:w="3626" w:type="dxa"/>
            <w:gridSpan w:val="2"/>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sidRPr="008D184B">
              <w:rPr>
                <w:rFonts w:ascii="仿宋_GB2312" w:hint="eastAsia"/>
                <w:sz w:val="24"/>
              </w:rPr>
              <w:fldChar w:fldCharType="begin">
                <w:ffData>
                  <w:name w:val="Text59"/>
                  <w:enabled/>
                  <w:calcOnExit w:val="0"/>
                  <w:textInput/>
                </w:ffData>
              </w:fldChar>
            </w:r>
            <w:bookmarkStart w:id="19" w:name="Text59"/>
            <w:r>
              <w:rPr>
                <w:rFonts w:ascii="仿宋_GB2312" w:hint="eastAsia"/>
                <w:sz w:val="24"/>
              </w:rPr>
              <w:instrText xml:space="preserve"> FORMTEXT </w:instrText>
            </w:r>
            <w:r w:rsidRPr="008D184B">
              <w:rPr>
                <w:rFonts w:ascii="仿宋_GB2312" w:hint="eastAsia"/>
                <w:sz w:val="24"/>
              </w:rPr>
            </w:r>
            <w:r w:rsidRPr="008D184B">
              <w:rPr>
                <w:rFonts w:ascii="仿宋_GB2312" w:hint="eastAsia"/>
                <w:sz w:val="24"/>
              </w:rPr>
              <w:fldChar w:fldCharType="separate"/>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hint="eastAsia"/>
              </w:rPr>
              <w:fldChar w:fldCharType="end"/>
            </w:r>
            <w:bookmarkEnd w:id="19"/>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jc w:val="distribute"/>
              <w:rPr>
                <w:rFonts w:ascii="仿宋_GB2312"/>
                <w:sz w:val="24"/>
              </w:rPr>
            </w:pPr>
            <w:r>
              <w:rPr>
                <w:rFonts w:ascii="仿宋_GB2312" w:hint="eastAsia"/>
                <w:sz w:val="24"/>
              </w:rPr>
              <w:t>联系人</w:t>
            </w:r>
          </w:p>
        </w:tc>
        <w:tc>
          <w:tcPr>
            <w:tcW w:w="1812" w:type="dxa"/>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sidRPr="008D184B">
              <w:rPr>
                <w:rFonts w:ascii="仿宋_GB2312" w:hint="eastAsia"/>
                <w:sz w:val="24"/>
              </w:rPr>
              <w:fldChar w:fldCharType="begin">
                <w:ffData>
                  <w:name w:val="Text60"/>
                  <w:enabled/>
                  <w:calcOnExit w:val="0"/>
                  <w:textInput/>
                </w:ffData>
              </w:fldChar>
            </w:r>
            <w:bookmarkStart w:id="20" w:name="Text60"/>
            <w:r>
              <w:rPr>
                <w:rFonts w:ascii="仿宋_GB2312" w:hint="eastAsia"/>
                <w:sz w:val="24"/>
              </w:rPr>
              <w:instrText xml:space="preserve"> FORMTEXT </w:instrText>
            </w:r>
            <w:r w:rsidRPr="008D184B">
              <w:rPr>
                <w:rFonts w:ascii="仿宋_GB2312" w:hint="eastAsia"/>
                <w:sz w:val="24"/>
              </w:rPr>
            </w:r>
            <w:r w:rsidRPr="008D184B">
              <w:rPr>
                <w:rFonts w:ascii="仿宋_GB2312" w:hint="eastAsia"/>
                <w:sz w:val="24"/>
              </w:rPr>
              <w:fldChar w:fldCharType="separate"/>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hint="eastAsia"/>
              </w:rPr>
              <w:fldChar w:fldCharType="end"/>
            </w:r>
            <w:bookmarkEnd w:id="20"/>
          </w:p>
        </w:tc>
      </w:tr>
      <w:tr w:rsidR="0010549C" w:rsidTr="00B12A8C">
        <w:trPr>
          <w:cantSplit/>
          <w:trHeight w:val="421"/>
        </w:trPr>
        <w:tc>
          <w:tcPr>
            <w:tcW w:w="1438" w:type="dxa"/>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jc w:val="distribute"/>
              <w:rPr>
                <w:rFonts w:ascii="仿宋_GB2312"/>
                <w:sz w:val="24"/>
              </w:rPr>
            </w:pPr>
            <w:r>
              <w:rPr>
                <w:rFonts w:ascii="仿宋_GB2312" w:hint="eastAsia"/>
                <w:sz w:val="24"/>
              </w:rPr>
              <w:t>联系电话</w:t>
            </w:r>
          </w:p>
        </w:tc>
        <w:tc>
          <w:tcPr>
            <w:tcW w:w="1136" w:type="dxa"/>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jc w:val="distribute"/>
              <w:rPr>
                <w:rFonts w:ascii="仿宋_GB2312"/>
                <w:sz w:val="24"/>
              </w:rPr>
            </w:pPr>
            <w:r>
              <w:rPr>
                <w:rFonts w:ascii="仿宋_GB2312" w:hint="eastAsia"/>
                <w:sz w:val="24"/>
              </w:rPr>
              <w:t>电话</w:t>
            </w:r>
          </w:p>
        </w:tc>
        <w:tc>
          <w:tcPr>
            <w:tcW w:w="2490" w:type="dxa"/>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w:t>
            </w:r>
            <w:r w:rsidRPr="008D184B">
              <w:rPr>
                <w:rFonts w:ascii="仿宋_GB2312" w:hint="eastAsia"/>
                <w:sz w:val="24"/>
              </w:rPr>
              <w:fldChar w:fldCharType="begin">
                <w:ffData>
                  <w:name w:val="Text61"/>
                  <w:enabled/>
                  <w:calcOnExit w:val="0"/>
                  <w:textInput/>
                </w:ffData>
              </w:fldChar>
            </w:r>
            <w:bookmarkStart w:id="21" w:name="Text61"/>
            <w:r>
              <w:rPr>
                <w:rFonts w:ascii="仿宋_GB2312" w:hint="eastAsia"/>
                <w:sz w:val="24"/>
              </w:rPr>
              <w:instrText xml:space="preserve"> FORMTEXT </w:instrText>
            </w:r>
            <w:r w:rsidRPr="008D184B">
              <w:rPr>
                <w:rFonts w:ascii="仿宋_GB2312" w:hint="eastAsia"/>
                <w:sz w:val="24"/>
              </w:rPr>
            </w:r>
            <w:r w:rsidRPr="008D184B">
              <w:rPr>
                <w:rFonts w:ascii="仿宋_GB2312" w:hint="eastAsia"/>
                <w:sz w:val="24"/>
              </w:rPr>
              <w:fldChar w:fldCharType="separate"/>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hint="eastAsia"/>
              </w:rPr>
              <w:fldChar w:fldCharType="end"/>
            </w:r>
            <w:bookmarkEnd w:id="21"/>
            <w:r>
              <w:rPr>
                <w:rFonts w:ascii="仿宋_GB2312" w:hint="eastAsia"/>
                <w:sz w:val="24"/>
              </w:rPr>
              <w:t xml:space="preserve"> )-</w:t>
            </w:r>
            <w:r w:rsidRPr="008D184B">
              <w:rPr>
                <w:rFonts w:ascii="仿宋_GB2312" w:hint="eastAsia"/>
                <w:sz w:val="24"/>
              </w:rPr>
              <w:fldChar w:fldCharType="begin">
                <w:ffData>
                  <w:name w:val="Text62"/>
                  <w:enabled/>
                  <w:calcOnExit w:val="0"/>
                  <w:textInput/>
                </w:ffData>
              </w:fldChar>
            </w:r>
            <w:bookmarkStart w:id="22" w:name="Text62"/>
            <w:r>
              <w:rPr>
                <w:rFonts w:ascii="仿宋_GB2312" w:hint="eastAsia"/>
                <w:sz w:val="24"/>
              </w:rPr>
              <w:instrText xml:space="preserve"> FORMTEXT </w:instrText>
            </w:r>
            <w:r w:rsidRPr="008D184B">
              <w:rPr>
                <w:rFonts w:ascii="仿宋_GB2312" w:hint="eastAsia"/>
                <w:sz w:val="24"/>
              </w:rPr>
            </w:r>
            <w:r w:rsidRPr="008D184B">
              <w:rPr>
                <w:rFonts w:ascii="仿宋_GB2312" w:hint="eastAsia"/>
                <w:sz w:val="24"/>
              </w:rPr>
              <w:fldChar w:fldCharType="separate"/>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hint="eastAsia"/>
              </w:rPr>
              <w:fldChar w:fldCharType="end"/>
            </w:r>
            <w:bookmarkEnd w:id="22"/>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jc w:val="distribute"/>
              <w:rPr>
                <w:rFonts w:ascii="仿宋_GB2312"/>
                <w:sz w:val="24"/>
              </w:rPr>
            </w:pPr>
            <w:r>
              <w:rPr>
                <w:rFonts w:ascii="仿宋_GB2312" w:hint="eastAsia"/>
                <w:sz w:val="24"/>
              </w:rPr>
              <w:t>传　真</w:t>
            </w:r>
          </w:p>
        </w:tc>
        <w:tc>
          <w:tcPr>
            <w:tcW w:w="1812" w:type="dxa"/>
            <w:tcBorders>
              <w:top w:val="single" w:sz="4" w:space="0" w:color="auto"/>
              <w:left w:val="nil"/>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w:t>
            </w:r>
            <w:r w:rsidRPr="008D184B">
              <w:rPr>
                <w:rFonts w:ascii="仿宋_GB2312" w:hint="eastAsia"/>
                <w:sz w:val="24"/>
              </w:rPr>
              <w:fldChar w:fldCharType="begin">
                <w:ffData>
                  <w:name w:val="Text63"/>
                  <w:enabled/>
                  <w:calcOnExit w:val="0"/>
                  <w:textInput/>
                </w:ffData>
              </w:fldChar>
            </w:r>
            <w:bookmarkStart w:id="23" w:name="Text63"/>
            <w:r>
              <w:rPr>
                <w:rFonts w:ascii="仿宋_GB2312" w:hint="eastAsia"/>
                <w:sz w:val="24"/>
              </w:rPr>
              <w:instrText xml:space="preserve"> FORMTEXT </w:instrText>
            </w:r>
            <w:r w:rsidRPr="008D184B">
              <w:rPr>
                <w:rFonts w:ascii="仿宋_GB2312" w:hint="eastAsia"/>
                <w:sz w:val="24"/>
              </w:rPr>
            </w:r>
            <w:r w:rsidRPr="008D184B">
              <w:rPr>
                <w:rFonts w:ascii="仿宋_GB2312" w:hint="eastAsia"/>
                <w:sz w:val="24"/>
              </w:rPr>
              <w:fldChar w:fldCharType="separate"/>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hint="eastAsia"/>
              </w:rPr>
              <w:fldChar w:fldCharType="end"/>
            </w:r>
            <w:bookmarkEnd w:id="23"/>
            <w:r>
              <w:rPr>
                <w:rFonts w:ascii="仿宋_GB2312" w:hint="eastAsia"/>
                <w:sz w:val="24"/>
              </w:rPr>
              <w:t xml:space="preserve"> )-</w:t>
            </w:r>
            <w:r w:rsidRPr="008D184B">
              <w:rPr>
                <w:rFonts w:ascii="仿宋_GB2312" w:hint="eastAsia"/>
                <w:sz w:val="24"/>
              </w:rPr>
              <w:fldChar w:fldCharType="begin">
                <w:ffData>
                  <w:name w:val="Text64"/>
                  <w:enabled/>
                  <w:calcOnExit w:val="0"/>
                  <w:textInput/>
                </w:ffData>
              </w:fldChar>
            </w:r>
            <w:bookmarkStart w:id="24" w:name="Text64"/>
            <w:r>
              <w:rPr>
                <w:rFonts w:ascii="仿宋_GB2312" w:hint="eastAsia"/>
                <w:sz w:val="24"/>
              </w:rPr>
              <w:instrText xml:space="preserve"> FORMTEXT </w:instrText>
            </w:r>
            <w:r w:rsidRPr="008D184B">
              <w:rPr>
                <w:rFonts w:ascii="仿宋_GB2312" w:hint="eastAsia"/>
                <w:sz w:val="24"/>
              </w:rPr>
            </w:r>
            <w:r w:rsidRPr="008D184B">
              <w:rPr>
                <w:rFonts w:ascii="仿宋_GB2312" w:hint="eastAsia"/>
                <w:sz w:val="24"/>
              </w:rPr>
              <w:fldChar w:fldCharType="separate"/>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hint="eastAsia"/>
              </w:rPr>
              <w:fldChar w:fldCharType="end"/>
            </w:r>
            <w:bookmarkEnd w:id="24"/>
          </w:p>
        </w:tc>
      </w:tr>
      <w:tr w:rsidR="0010549C" w:rsidTr="00B12A8C">
        <w:trPr>
          <w:cantSplit/>
          <w:trHeight w:val="1352"/>
        </w:trPr>
        <w:tc>
          <w:tcPr>
            <w:tcW w:w="1438" w:type="dxa"/>
            <w:tcBorders>
              <w:top w:val="single" w:sz="4" w:space="0" w:color="auto"/>
              <w:left w:val="single" w:sz="4" w:space="0" w:color="auto"/>
              <w:bottom w:val="single" w:sz="4" w:space="0" w:color="auto"/>
              <w:right w:val="single" w:sz="4" w:space="0" w:color="auto"/>
            </w:tcBorders>
            <w:textDirection w:val="tbRlV"/>
            <w:vAlign w:val="center"/>
            <w:hideMark/>
          </w:tcPr>
          <w:p w:rsidR="0010549C" w:rsidRDefault="0010549C" w:rsidP="00B12A8C">
            <w:pPr>
              <w:ind w:left="113" w:right="113"/>
              <w:jc w:val="center"/>
              <w:rPr>
                <w:rFonts w:ascii="仿宋_GB2312"/>
                <w:sz w:val="24"/>
              </w:rPr>
            </w:pPr>
            <w:r>
              <w:rPr>
                <w:rFonts w:ascii="仿宋_GB2312" w:hint="eastAsia"/>
                <w:sz w:val="24"/>
              </w:rPr>
              <w:t>说　　明</w:t>
            </w:r>
          </w:p>
        </w:tc>
        <w:bookmarkStart w:id="25" w:name="Check5"/>
        <w:tc>
          <w:tcPr>
            <w:tcW w:w="6858" w:type="dxa"/>
            <w:gridSpan w:val="5"/>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ind w:firstLineChars="100" w:firstLine="320"/>
              <w:rPr>
                <w:rFonts w:ascii="仿宋_GB2312"/>
                <w:sz w:val="24"/>
              </w:rPr>
            </w:pPr>
            <w:r>
              <w:fldChar w:fldCharType="begin">
                <w:ffData>
                  <w:name w:val="Check5"/>
                  <w:enabled/>
                  <w:calcOnExit w:val="0"/>
                  <w:checkBox>
                    <w:sizeAuto/>
                    <w:default w:val="0"/>
                    <w:checked w:val="0"/>
                  </w:checkBox>
                </w:ffData>
              </w:fldChar>
            </w:r>
            <w:r>
              <w:rPr>
                <w:rFonts w:ascii="仿宋_GB2312" w:hint="eastAsia"/>
                <w:b/>
                <w:szCs w:val="21"/>
              </w:rPr>
              <w:instrText xml:space="preserve"> FORMCHECKBOX </w:instrText>
            </w:r>
            <w:r>
              <w:fldChar w:fldCharType="end"/>
            </w:r>
            <w:bookmarkEnd w:id="25"/>
            <w:r>
              <w:rPr>
                <w:rFonts w:ascii="仿宋_GB2312" w:hint="eastAsia"/>
                <w:b/>
                <w:szCs w:val="21"/>
              </w:rPr>
              <w:t xml:space="preserve"> 新增帐户　　          </w:t>
            </w:r>
            <w:bookmarkStart w:id="26" w:name="Check6"/>
            <w:r>
              <w:fldChar w:fldCharType="begin">
                <w:ffData>
                  <w:name w:val="Check6"/>
                  <w:enabled/>
                  <w:calcOnExit w:val="0"/>
                  <w:checkBox>
                    <w:sizeAuto/>
                    <w:default w:val="0"/>
                  </w:checkBox>
                </w:ffData>
              </w:fldChar>
            </w:r>
            <w:r>
              <w:rPr>
                <w:rFonts w:ascii="仿宋_GB2312" w:hint="eastAsia"/>
                <w:b/>
                <w:szCs w:val="21"/>
              </w:rPr>
              <w:instrText xml:space="preserve"> FORMCHECKBOX </w:instrText>
            </w:r>
            <w:r>
              <w:fldChar w:fldCharType="end"/>
            </w:r>
            <w:bookmarkEnd w:id="26"/>
            <w:r>
              <w:rPr>
                <w:rFonts w:ascii="仿宋_GB2312" w:hint="eastAsia"/>
                <w:b/>
                <w:szCs w:val="21"/>
              </w:rPr>
              <w:t xml:space="preserve"> 更改帐户</w:t>
            </w:r>
          </w:p>
          <w:p w:rsidR="0010549C" w:rsidRDefault="0010549C" w:rsidP="00B12A8C">
            <w:pPr>
              <w:spacing w:line="360" w:lineRule="auto"/>
              <w:ind w:firstLineChars="100" w:firstLine="240"/>
              <w:rPr>
                <w:rFonts w:ascii="仿宋_GB2312"/>
                <w:sz w:val="28"/>
                <w:szCs w:val="28"/>
                <w:u w:val="single"/>
              </w:rPr>
            </w:pPr>
            <w:r>
              <w:rPr>
                <w:rFonts w:ascii="仿宋_GB2312" w:hint="eastAsia"/>
                <w:sz w:val="24"/>
              </w:rPr>
              <w:t>其他说明：</w:t>
            </w:r>
            <w:r w:rsidRPr="008D184B">
              <w:rPr>
                <w:rFonts w:ascii="仿宋_GB2312" w:hint="eastAsia"/>
                <w:sz w:val="24"/>
              </w:rPr>
              <w:fldChar w:fldCharType="begin">
                <w:ffData>
                  <w:name w:val="Text65"/>
                  <w:enabled/>
                  <w:calcOnExit w:val="0"/>
                  <w:textInput/>
                </w:ffData>
              </w:fldChar>
            </w:r>
            <w:bookmarkStart w:id="27" w:name="Text65"/>
            <w:r>
              <w:rPr>
                <w:rFonts w:ascii="仿宋_GB2312" w:hint="eastAsia"/>
                <w:sz w:val="24"/>
              </w:rPr>
              <w:instrText xml:space="preserve"> FORMTEXT </w:instrText>
            </w:r>
            <w:r w:rsidRPr="008D184B">
              <w:rPr>
                <w:rFonts w:ascii="仿宋_GB2312" w:hint="eastAsia"/>
                <w:sz w:val="24"/>
              </w:rPr>
            </w:r>
            <w:r w:rsidRPr="008D184B">
              <w:rPr>
                <w:rFonts w:ascii="仿宋_GB2312" w:hint="eastAsia"/>
                <w:sz w:val="24"/>
              </w:rPr>
              <w:fldChar w:fldCharType="separate"/>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ascii="仿宋_GB2312" w:hint="eastAsia"/>
                <w:noProof/>
                <w:sz w:val="24"/>
              </w:rPr>
              <w:t> </w:t>
            </w:r>
            <w:r>
              <w:rPr>
                <w:rFonts w:hint="eastAsia"/>
              </w:rPr>
              <w:fldChar w:fldCharType="end"/>
            </w:r>
            <w:bookmarkEnd w:id="27"/>
            <w:r>
              <w:rPr>
                <w:rFonts w:ascii="仿宋_GB2312" w:hint="eastAsia"/>
                <w:sz w:val="28"/>
                <w:szCs w:val="28"/>
                <w:u w:val="single"/>
              </w:rPr>
              <w:t xml:space="preserve">                                       </w:t>
            </w:r>
          </w:p>
          <w:p w:rsidR="0010549C" w:rsidRDefault="0010549C" w:rsidP="00B12A8C">
            <w:pPr>
              <w:spacing w:line="360" w:lineRule="auto"/>
              <w:ind w:firstLineChars="100" w:firstLine="280"/>
              <w:rPr>
                <w:rFonts w:ascii="仿宋_GB2312"/>
                <w:sz w:val="24"/>
                <w:u w:val="single"/>
              </w:rPr>
            </w:pPr>
            <w:r>
              <w:rPr>
                <w:rFonts w:ascii="仿宋_GB2312" w:hint="eastAsia"/>
                <w:sz w:val="28"/>
                <w:szCs w:val="28"/>
                <w:u w:val="single"/>
              </w:rPr>
              <w:t xml:space="preserve">                                                   </w:t>
            </w:r>
          </w:p>
        </w:tc>
      </w:tr>
      <w:tr w:rsidR="0010549C" w:rsidTr="00B12A8C">
        <w:trPr>
          <w:cantSplit/>
          <w:trHeight w:val="390"/>
        </w:trPr>
        <w:tc>
          <w:tcPr>
            <w:tcW w:w="143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0549C" w:rsidRDefault="0010549C" w:rsidP="00B12A8C">
            <w:pPr>
              <w:ind w:left="113" w:right="113"/>
              <w:jc w:val="center"/>
              <w:rPr>
                <w:rFonts w:ascii="仿宋_GB2312"/>
                <w:sz w:val="24"/>
              </w:rPr>
            </w:pPr>
            <w:r>
              <w:rPr>
                <w:rFonts w:ascii="仿宋_GB2312" w:hint="eastAsia"/>
                <w:sz w:val="24"/>
              </w:rPr>
              <w:t>新帐户（美元）</w:t>
            </w: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申报机构SWIFT BIC CODE</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申报机构到期退款账号*</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申报机构户名</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开户行 SWIFT BIC CODE</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开户行账号与名称</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中间行 SWIFT BIC CODE</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中间行账号与名称</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*备注</w:t>
            </w:r>
            <w:r>
              <w:rPr>
                <w:rStyle w:val="a4"/>
                <w:rFonts w:ascii="仿宋_GB2312"/>
                <w:sz w:val="24"/>
              </w:rPr>
              <w:footnoteReference w:id="3"/>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0549C" w:rsidRDefault="0010549C" w:rsidP="00B12A8C">
            <w:pPr>
              <w:ind w:left="113" w:right="113"/>
              <w:jc w:val="center"/>
              <w:rPr>
                <w:rFonts w:ascii="仿宋_GB2312"/>
                <w:sz w:val="24"/>
              </w:rPr>
            </w:pPr>
            <w:r>
              <w:rPr>
                <w:rFonts w:ascii="仿宋_GB2312" w:hint="eastAsia"/>
                <w:sz w:val="24"/>
              </w:rPr>
              <w:t>原帐户（美元）</w:t>
            </w: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申报机构SWIFT BIC CODE</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申报机构到期退款账号*</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申报机构户名</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开户行 SWIFT BIC CODE</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开户行账号与名称</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中间行 SWIFT BIC CODE</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中间行账号与名称</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r w:rsidR="0010549C" w:rsidTr="00B12A8C">
        <w:trPr>
          <w:cantSplit/>
          <w:trHeight w:val="39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widowControl/>
              <w:jc w:val="left"/>
              <w:rPr>
                <w:rFonts w:ascii="仿宋_GB2312"/>
                <w:sz w:val="24"/>
              </w:rPr>
            </w:pPr>
          </w:p>
        </w:tc>
        <w:tc>
          <w:tcPr>
            <w:tcW w:w="3673" w:type="dxa"/>
            <w:gridSpan w:val="3"/>
            <w:tcBorders>
              <w:top w:val="single" w:sz="4" w:space="0" w:color="auto"/>
              <w:left w:val="single" w:sz="4" w:space="0" w:color="auto"/>
              <w:bottom w:val="single" w:sz="4" w:space="0" w:color="auto"/>
              <w:right w:val="single" w:sz="4" w:space="0" w:color="auto"/>
            </w:tcBorders>
            <w:vAlign w:val="center"/>
            <w:hideMark/>
          </w:tcPr>
          <w:p w:rsidR="0010549C" w:rsidRDefault="0010549C" w:rsidP="00B12A8C">
            <w:pPr>
              <w:rPr>
                <w:rFonts w:ascii="仿宋_GB2312"/>
                <w:sz w:val="24"/>
              </w:rPr>
            </w:pPr>
            <w:r>
              <w:rPr>
                <w:rFonts w:ascii="仿宋_GB2312" w:hint="eastAsia"/>
                <w:sz w:val="24"/>
              </w:rPr>
              <w:t>*备注</w:t>
            </w:r>
            <w:r>
              <w:rPr>
                <w:rStyle w:val="a4"/>
                <w:rFonts w:ascii="仿宋_GB2312"/>
                <w:sz w:val="24"/>
              </w:rPr>
              <w:footnoteReference w:id="4"/>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10549C" w:rsidRDefault="0010549C" w:rsidP="00B12A8C">
            <w:pPr>
              <w:rPr>
                <w:rFonts w:ascii="仿宋_GB2312"/>
                <w:sz w:val="24"/>
              </w:rPr>
            </w:pPr>
          </w:p>
        </w:tc>
      </w:tr>
    </w:tbl>
    <w:p w:rsidR="0010549C" w:rsidRDefault="0010549C" w:rsidP="0010549C">
      <w:pPr>
        <w:rPr>
          <w:rFonts w:ascii="仿宋_GB2312"/>
          <w:sz w:val="24"/>
        </w:rPr>
      </w:pPr>
    </w:p>
    <w:p w:rsidR="0010549C" w:rsidRDefault="0010549C" w:rsidP="0010549C">
      <w:pPr>
        <w:adjustRightInd w:val="0"/>
        <w:snapToGrid w:val="0"/>
        <w:spacing w:line="360" w:lineRule="auto"/>
        <w:ind w:right="1040"/>
        <w:rPr>
          <w:rFonts w:ascii="仿宋_GB2312"/>
          <w:sz w:val="24"/>
        </w:rPr>
      </w:pPr>
      <w:r>
        <w:rPr>
          <w:rFonts w:ascii="仿宋_GB2312" w:hint="eastAsia"/>
          <w:sz w:val="24"/>
        </w:rPr>
        <w:t>说明：请如实填写表格内容，并加盖公章或有效授权印鉴后传真至</w:t>
      </w:r>
    </w:p>
    <w:p w:rsidR="0010549C" w:rsidRDefault="0010549C" w:rsidP="0010549C">
      <w:pPr>
        <w:adjustRightInd w:val="0"/>
        <w:snapToGrid w:val="0"/>
        <w:spacing w:line="360" w:lineRule="auto"/>
        <w:ind w:right="84" w:firstLineChars="200" w:firstLine="480"/>
        <w:rPr>
          <w:rFonts w:ascii="仿宋_GB2312"/>
          <w:sz w:val="24"/>
        </w:rPr>
      </w:pPr>
      <w:r>
        <w:rPr>
          <w:rFonts w:ascii="仿宋_GB2312" w:hint="eastAsia"/>
          <w:sz w:val="24"/>
        </w:rPr>
        <w:t xml:space="preserve">  中国外汇交易中心  </w:t>
      </w:r>
    </w:p>
    <w:p w:rsidR="0010549C" w:rsidRDefault="0010549C" w:rsidP="0010549C">
      <w:pPr>
        <w:adjustRightInd w:val="0"/>
        <w:snapToGrid w:val="0"/>
        <w:spacing w:line="360" w:lineRule="auto"/>
        <w:ind w:right="560" w:firstLineChars="200" w:firstLine="480"/>
        <w:jc w:val="right"/>
        <w:rPr>
          <w:rFonts w:ascii="仿宋_GB2312" w:hAnsi="宋体"/>
          <w:sz w:val="24"/>
        </w:rPr>
      </w:pPr>
      <w:r>
        <w:rPr>
          <w:rFonts w:ascii="仿宋_GB2312" w:hAnsi="宋体" w:hint="eastAsia"/>
          <w:sz w:val="24"/>
        </w:rPr>
        <w:lastRenderedPageBreak/>
        <w:t>（单位盖章）</w:t>
      </w:r>
    </w:p>
    <w:p w:rsidR="0010549C" w:rsidRDefault="0010549C" w:rsidP="0010549C">
      <w:pPr>
        <w:adjustRightInd w:val="0"/>
        <w:snapToGrid w:val="0"/>
        <w:spacing w:line="360" w:lineRule="auto"/>
        <w:ind w:right="560" w:firstLineChars="200" w:firstLine="480"/>
        <w:jc w:val="right"/>
        <w:rPr>
          <w:rFonts w:ascii="仿宋_GB2312" w:cs="宋体"/>
          <w:color w:val="000000"/>
          <w:kern w:val="0"/>
          <w:sz w:val="24"/>
          <w:szCs w:val="24"/>
        </w:rPr>
      </w:pPr>
      <w:r w:rsidRPr="008D184B">
        <w:rPr>
          <w:rFonts w:ascii="仿宋_GB2312" w:hAnsi="宋体" w:hint="eastAsia"/>
          <w:sz w:val="24"/>
        </w:rPr>
        <w:fldChar w:fldCharType="begin">
          <w:ffData>
            <w:name w:val="Text70"/>
            <w:enabled/>
            <w:calcOnExit w:val="0"/>
            <w:textInput/>
          </w:ffData>
        </w:fldChar>
      </w:r>
      <w:bookmarkStart w:id="28" w:name="Text70"/>
      <w:r>
        <w:rPr>
          <w:rFonts w:ascii="仿宋_GB2312" w:hAnsi="宋体" w:hint="eastAsia"/>
          <w:sz w:val="24"/>
        </w:rPr>
        <w:instrText xml:space="preserve"> FORMTEXT </w:instrText>
      </w:r>
      <w:r w:rsidRPr="008D184B">
        <w:rPr>
          <w:rFonts w:ascii="仿宋_GB2312" w:hAnsi="宋体" w:hint="eastAsia"/>
          <w:sz w:val="24"/>
        </w:rPr>
      </w:r>
      <w:r w:rsidRPr="008D184B">
        <w:rPr>
          <w:rFonts w:ascii="仿宋_GB2312" w:hAnsi="宋体" w:hint="eastAsia"/>
          <w:sz w:val="24"/>
        </w:rPr>
        <w:fldChar w:fldCharType="separate"/>
      </w:r>
      <w:r>
        <w:rPr>
          <w:rFonts w:ascii="仿宋_GB2312" w:hAnsi="宋体" w:hint="eastAsia"/>
          <w:noProof/>
          <w:sz w:val="24"/>
        </w:rPr>
        <w:t> </w:t>
      </w:r>
      <w:r>
        <w:rPr>
          <w:rFonts w:ascii="仿宋_GB2312" w:hAnsi="宋体" w:hint="eastAsia"/>
          <w:noProof/>
          <w:sz w:val="24"/>
        </w:rPr>
        <w:t> </w:t>
      </w:r>
      <w:r>
        <w:rPr>
          <w:rFonts w:ascii="仿宋_GB2312" w:hAnsi="宋体" w:hint="eastAsia"/>
          <w:noProof/>
          <w:sz w:val="24"/>
        </w:rPr>
        <w:t> </w:t>
      </w:r>
      <w:r>
        <w:rPr>
          <w:rFonts w:ascii="仿宋_GB2312" w:hAnsi="宋体" w:hint="eastAsia"/>
          <w:noProof/>
          <w:sz w:val="24"/>
        </w:rPr>
        <w:t> </w:t>
      </w:r>
      <w:r>
        <w:rPr>
          <w:rFonts w:ascii="仿宋_GB2312" w:hAnsi="宋体" w:hint="eastAsia"/>
          <w:noProof/>
          <w:sz w:val="24"/>
        </w:rPr>
        <w:t> </w:t>
      </w:r>
      <w:r>
        <w:rPr>
          <w:rFonts w:hint="eastAsia"/>
        </w:rPr>
        <w:fldChar w:fldCharType="end"/>
      </w:r>
      <w:bookmarkEnd w:id="28"/>
      <w:r>
        <w:rPr>
          <w:rFonts w:ascii="仿宋_GB2312" w:hAnsi="宋体" w:hint="eastAsia"/>
          <w:sz w:val="24"/>
        </w:rPr>
        <w:t>年</w:t>
      </w:r>
      <w:r w:rsidRPr="008D184B">
        <w:rPr>
          <w:rFonts w:ascii="仿宋_GB2312" w:hAnsi="宋体" w:hint="eastAsia"/>
          <w:sz w:val="24"/>
        </w:rPr>
        <w:fldChar w:fldCharType="begin">
          <w:ffData>
            <w:name w:val="Text71"/>
            <w:enabled/>
            <w:calcOnExit w:val="0"/>
            <w:textInput/>
          </w:ffData>
        </w:fldChar>
      </w:r>
      <w:bookmarkStart w:id="29" w:name="Text71"/>
      <w:r>
        <w:rPr>
          <w:rFonts w:ascii="仿宋_GB2312" w:hAnsi="宋体" w:hint="eastAsia"/>
          <w:sz w:val="24"/>
        </w:rPr>
        <w:instrText xml:space="preserve"> FORMTEXT </w:instrText>
      </w:r>
      <w:r w:rsidRPr="008D184B">
        <w:rPr>
          <w:rFonts w:ascii="仿宋_GB2312" w:hAnsi="宋体" w:hint="eastAsia"/>
          <w:sz w:val="24"/>
        </w:rPr>
      </w:r>
      <w:r w:rsidRPr="008D184B">
        <w:rPr>
          <w:rFonts w:ascii="仿宋_GB2312" w:hAnsi="宋体" w:hint="eastAsia"/>
          <w:sz w:val="24"/>
        </w:rPr>
        <w:fldChar w:fldCharType="separate"/>
      </w:r>
      <w:r>
        <w:rPr>
          <w:rFonts w:ascii="仿宋_GB2312" w:hAnsi="宋体" w:hint="eastAsia"/>
          <w:noProof/>
          <w:sz w:val="24"/>
        </w:rPr>
        <w:t> </w:t>
      </w:r>
      <w:r>
        <w:rPr>
          <w:rFonts w:ascii="仿宋_GB2312" w:hAnsi="宋体" w:hint="eastAsia"/>
          <w:noProof/>
          <w:sz w:val="24"/>
        </w:rPr>
        <w:t> </w:t>
      </w:r>
      <w:r>
        <w:rPr>
          <w:rFonts w:ascii="仿宋_GB2312" w:hAnsi="宋体" w:hint="eastAsia"/>
          <w:noProof/>
          <w:sz w:val="24"/>
        </w:rPr>
        <w:t> </w:t>
      </w:r>
      <w:r>
        <w:rPr>
          <w:rFonts w:ascii="仿宋_GB2312" w:hAnsi="宋体" w:hint="eastAsia"/>
          <w:noProof/>
          <w:sz w:val="24"/>
        </w:rPr>
        <w:t> </w:t>
      </w:r>
      <w:r>
        <w:rPr>
          <w:rFonts w:ascii="仿宋_GB2312" w:hAnsi="宋体" w:hint="eastAsia"/>
          <w:noProof/>
          <w:sz w:val="24"/>
        </w:rPr>
        <w:t> </w:t>
      </w:r>
      <w:r>
        <w:rPr>
          <w:rFonts w:hint="eastAsia"/>
        </w:rPr>
        <w:fldChar w:fldCharType="end"/>
      </w:r>
      <w:bookmarkEnd w:id="29"/>
      <w:r>
        <w:rPr>
          <w:rFonts w:ascii="仿宋_GB2312" w:hAnsi="宋体" w:hint="eastAsia"/>
          <w:sz w:val="24"/>
        </w:rPr>
        <w:t>月</w:t>
      </w:r>
      <w:r w:rsidRPr="008D184B">
        <w:rPr>
          <w:rFonts w:ascii="仿宋_GB2312" w:hAnsi="宋体" w:hint="eastAsia"/>
          <w:sz w:val="24"/>
        </w:rPr>
        <w:fldChar w:fldCharType="begin">
          <w:ffData>
            <w:name w:val="Text72"/>
            <w:enabled/>
            <w:calcOnExit w:val="0"/>
            <w:textInput/>
          </w:ffData>
        </w:fldChar>
      </w:r>
      <w:bookmarkStart w:id="30" w:name="Text72"/>
      <w:r>
        <w:rPr>
          <w:rFonts w:ascii="仿宋_GB2312" w:hAnsi="宋体" w:hint="eastAsia"/>
          <w:sz w:val="24"/>
        </w:rPr>
        <w:instrText xml:space="preserve"> FORMTEXT </w:instrText>
      </w:r>
      <w:r w:rsidRPr="008D184B">
        <w:rPr>
          <w:rFonts w:ascii="仿宋_GB2312" w:hAnsi="宋体" w:hint="eastAsia"/>
          <w:sz w:val="24"/>
        </w:rPr>
      </w:r>
      <w:r w:rsidRPr="008D184B">
        <w:rPr>
          <w:rFonts w:ascii="仿宋_GB2312" w:hAnsi="宋体" w:hint="eastAsia"/>
          <w:sz w:val="24"/>
        </w:rPr>
        <w:fldChar w:fldCharType="separate"/>
      </w:r>
      <w:r>
        <w:rPr>
          <w:rFonts w:ascii="仿宋_GB2312" w:hAnsi="宋体" w:hint="eastAsia"/>
          <w:noProof/>
          <w:sz w:val="24"/>
        </w:rPr>
        <w:t> </w:t>
      </w:r>
      <w:r>
        <w:rPr>
          <w:rFonts w:ascii="仿宋_GB2312" w:hAnsi="宋体" w:hint="eastAsia"/>
          <w:noProof/>
          <w:sz w:val="24"/>
        </w:rPr>
        <w:t> </w:t>
      </w:r>
      <w:r>
        <w:rPr>
          <w:rFonts w:ascii="仿宋_GB2312" w:hAnsi="宋体" w:hint="eastAsia"/>
          <w:noProof/>
          <w:sz w:val="24"/>
        </w:rPr>
        <w:t> </w:t>
      </w:r>
      <w:r>
        <w:rPr>
          <w:rFonts w:ascii="仿宋_GB2312" w:hAnsi="宋体" w:hint="eastAsia"/>
          <w:noProof/>
          <w:sz w:val="24"/>
        </w:rPr>
        <w:t> </w:t>
      </w:r>
      <w:r>
        <w:rPr>
          <w:rFonts w:ascii="仿宋_GB2312" w:hAnsi="宋体" w:hint="eastAsia"/>
          <w:noProof/>
          <w:sz w:val="24"/>
        </w:rPr>
        <w:t> </w:t>
      </w:r>
      <w:r>
        <w:rPr>
          <w:rFonts w:hint="eastAsia"/>
        </w:rPr>
        <w:fldChar w:fldCharType="end"/>
      </w:r>
      <w:bookmarkEnd w:id="30"/>
      <w:r>
        <w:rPr>
          <w:rFonts w:ascii="仿宋_GB2312" w:hAnsi="宋体" w:hint="eastAsia"/>
          <w:sz w:val="24"/>
        </w:rPr>
        <w:t>日</w:t>
      </w:r>
    </w:p>
    <w:p w:rsidR="0010549C" w:rsidRDefault="0010549C" w:rsidP="0010549C"/>
    <w:p w:rsidR="007D5F37" w:rsidRDefault="007D5F37"/>
    <w:sectPr w:rsidR="007D5F37" w:rsidSect="007D5F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6CD" w:rsidRDefault="004916CD" w:rsidP="0010549C">
      <w:r>
        <w:separator/>
      </w:r>
    </w:p>
  </w:endnote>
  <w:endnote w:type="continuationSeparator" w:id="1">
    <w:p w:rsidR="004916CD" w:rsidRDefault="004916CD" w:rsidP="001054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6CD" w:rsidRDefault="004916CD" w:rsidP="0010549C">
      <w:r>
        <w:separator/>
      </w:r>
    </w:p>
  </w:footnote>
  <w:footnote w:type="continuationSeparator" w:id="1">
    <w:p w:rsidR="004916CD" w:rsidRDefault="004916CD" w:rsidP="0010549C">
      <w:r>
        <w:continuationSeparator/>
      </w:r>
    </w:p>
  </w:footnote>
  <w:footnote w:id="2">
    <w:p w:rsidR="0010549C" w:rsidRDefault="0010549C" w:rsidP="0010549C">
      <w:pPr>
        <w:pStyle w:val="a3"/>
        <w:rPr>
          <w:rFonts w:ascii="Times New Roman" w:eastAsia="仿宋_GB2312" w:hAnsi="Times New Roman" w:cs="宋体"/>
          <w:color w:val="000000"/>
          <w:kern w:val="0"/>
          <w:sz w:val="21"/>
          <w:szCs w:val="21"/>
        </w:rPr>
      </w:pPr>
      <w:r>
        <w:rPr>
          <w:rStyle w:val="a4"/>
        </w:rPr>
        <w:footnoteRef/>
      </w:r>
      <w:r>
        <w:rPr>
          <w:rFonts w:ascii="Times New Roman" w:eastAsia="仿宋_GB2312" w:hAnsi="Times New Roman" w:cs="宋体"/>
          <w:color w:val="000000"/>
          <w:kern w:val="0"/>
          <w:sz w:val="21"/>
          <w:szCs w:val="21"/>
        </w:rPr>
        <w:t xml:space="preserve"> </w:t>
      </w:r>
      <w:r>
        <w:rPr>
          <w:rFonts w:ascii="Times New Roman" w:eastAsia="仿宋_GB2312" w:hAnsi="Times New Roman" w:cs="宋体" w:hint="eastAsia"/>
          <w:color w:val="000000"/>
          <w:kern w:val="0"/>
          <w:sz w:val="21"/>
          <w:szCs w:val="21"/>
        </w:rPr>
        <w:t>如涉及多个中间行情况，请填于备注栏。</w:t>
      </w:r>
    </w:p>
  </w:footnote>
  <w:footnote w:id="3">
    <w:p w:rsidR="0010549C" w:rsidRDefault="0010549C" w:rsidP="0010549C">
      <w:pPr>
        <w:pStyle w:val="a3"/>
        <w:rPr>
          <w:rFonts w:ascii="仿宋_GB2312" w:eastAsia="仿宋_GB2312"/>
          <w:sz w:val="24"/>
          <w:szCs w:val="24"/>
        </w:rPr>
      </w:pPr>
      <w:r>
        <w:rPr>
          <w:rStyle w:val="a4"/>
        </w:rPr>
        <w:footnoteRef/>
      </w:r>
      <w:r>
        <w:rPr>
          <w:rFonts w:ascii="仿宋_GB2312" w:eastAsia="仿宋_GB2312" w:hint="eastAsia"/>
          <w:sz w:val="24"/>
          <w:szCs w:val="24"/>
        </w:rPr>
        <w:t xml:space="preserve"> 如涉及多个中间行情况，请填于备注栏。</w:t>
      </w:r>
    </w:p>
  </w:footnote>
  <w:footnote w:id="4">
    <w:p w:rsidR="0010549C" w:rsidRDefault="0010549C" w:rsidP="0010549C">
      <w:pPr>
        <w:pStyle w:val="a3"/>
        <w:rPr>
          <w:rFonts w:ascii="仿宋_GB2312" w:eastAsia="仿宋_GB2312"/>
          <w:sz w:val="24"/>
          <w:szCs w:val="24"/>
        </w:rPr>
      </w:pPr>
      <w:r>
        <w:rPr>
          <w:rStyle w:val="a4"/>
          <w:rFonts w:ascii="仿宋_GB2312"/>
          <w:sz w:val="24"/>
          <w:szCs w:val="24"/>
        </w:rPr>
        <w:footnoteRef/>
      </w:r>
      <w:r>
        <w:rPr>
          <w:rFonts w:ascii="仿宋_GB2312" w:eastAsia="仿宋_GB2312" w:hint="eastAsia"/>
          <w:sz w:val="24"/>
          <w:szCs w:val="24"/>
        </w:rPr>
        <w:t xml:space="preserve"> 如涉及多个中间行情况，请填于备注栏。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549C"/>
    <w:rsid w:val="0010549C"/>
    <w:rsid w:val="004916CD"/>
    <w:rsid w:val="007D5F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9C"/>
    <w:pPr>
      <w:widowControl w:val="0"/>
      <w:jc w:val="both"/>
    </w:pPr>
    <w:rPr>
      <w:rFonts w:ascii="Times New Roman" w:eastAsia="仿宋_GB2312" w:hAnsi="Times New Roman" w:cs="Times New Roman"/>
      <w:sz w:val="32"/>
      <w:szCs w:val="20"/>
    </w:rPr>
  </w:style>
  <w:style w:type="paragraph" w:styleId="1">
    <w:name w:val="heading 1"/>
    <w:basedOn w:val="a"/>
    <w:next w:val="a"/>
    <w:link w:val="1Char"/>
    <w:uiPriority w:val="9"/>
    <w:qFormat/>
    <w:rsid w:val="0010549C"/>
    <w:pPr>
      <w:keepNext/>
      <w:keepLines/>
      <w:spacing w:before="340" w:after="330" w:line="576" w:lineRule="auto"/>
      <w:outlineLvl w:val="0"/>
    </w:pPr>
    <w:rPr>
      <w:rFonts w:ascii="Calibri" w:eastAsia="宋体"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549C"/>
    <w:rPr>
      <w:rFonts w:ascii="Calibri" w:eastAsia="宋体" w:hAnsi="Calibri" w:cs="宋体"/>
      <w:b/>
      <w:bCs/>
      <w:kern w:val="44"/>
      <w:sz w:val="44"/>
      <w:szCs w:val="44"/>
    </w:rPr>
  </w:style>
  <w:style w:type="paragraph" w:styleId="a3">
    <w:name w:val="footnote text"/>
    <w:basedOn w:val="a"/>
    <w:link w:val="Char"/>
    <w:semiHidden/>
    <w:unhideWhenUsed/>
    <w:rsid w:val="0010549C"/>
    <w:pPr>
      <w:snapToGrid w:val="0"/>
      <w:jc w:val="left"/>
    </w:pPr>
    <w:rPr>
      <w:rFonts w:ascii="Calibri" w:eastAsia="宋体" w:hAnsi="Calibri"/>
      <w:sz w:val="18"/>
      <w:szCs w:val="18"/>
    </w:rPr>
  </w:style>
  <w:style w:type="character" w:customStyle="1" w:styleId="Char">
    <w:name w:val="脚注文本 Char"/>
    <w:basedOn w:val="a0"/>
    <w:link w:val="a3"/>
    <w:semiHidden/>
    <w:rsid w:val="0010549C"/>
    <w:rPr>
      <w:rFonts w:ascii="Calibri" w:eastAsia="宋体" w:hAnsi="Calibri" w:cs="Times New Roman"/>
      <w:sz w:val="18"/>
      <w:szCs w:val="18"/>
    </w:rPr>
  </w:style>
  <w:style w:type="character" w:styleId="a4">
    <w:name w:val="footnote reference"/>
    <w:basedOn w:val="a0"/>
    <w:semiHidden/>
    <w:unhideWhenUsed/>
    <w:rsid w:val="0010549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636</Words>
  <Characters>3631</Characters>
  <Application>Microsoft Office Word</Application>
  <DocSecurity>0</DocSecurity>
  <Lines>30</Lines>
  <Paragraphs>8</Paragraphs>
  <ScaleCrop>false</ScaleCrop>
  <Company>Lenovo (Beijing) Limited</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2016-07-25T07:44:00Z</dcterms:created>
  <dcterms:modified xsi:type="dcterms:W3CDTF">2016-07-25T07:44:00Z</dcterms:modified>
</cp:coreProperties>
</file>