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D59D2" w14:textId="77777777" w:rsidR="00CF0AC1" w:rsidRDefault="00CF0AC1">
      <w:pPr>
        <w:widowControl/>
        <w:jc w:val="left"/>
        <w:rPr>
          <w:rFonts w:ascii="仿宋" w:eastAsia="仿宋" w:hAnsi="仿宋" w:cstheme="minorBidi"/>
          <w:sz w:val="28"/>
          <w:szCs w:val="28"/>
        </w:rPr>
      </w:pPr>
      <w:bookmarkStart w:id="0" w:name="_GoBack"/>
      <w:bookmarkEnd w:id="0"/>
    </w:p>
    <w:p w14:paraId="102B86FD" w14:textId="77777777" w:rsidR="00106769" w:rsidRDefault="00106769">
      <w:pPr>
        <w:widowControl/>
        <w:jc w:val="left"/>
        <w:rPr>
          <w:rFonts w:ascii="仿宋" w:eastAsia="仿宋" w:hAnsi="仿宋" w:cstheme="minorBidi"/>
          <w:sz w:val="28"/>
          <w:szCs w:val="28"/>
        </w:rPr>
      </w:pPr>
    </w:p>
    <w:p w14:paraId="70E64623" w14:textId="77777777" w:rsidR="00106769" w:rsidRDefault="00106769">
      <w:pPr>
        <w:widowControl/>
        <w:jc w:val="left"/>
        <w:rPr>
          <w:rFonts w:ascii="仿宋" w:eastAsia="仿宋" w:hAnsi="仿宋" w:cstheme="minorBidi"/>
          <w:sz w:val="28"/>
          <w:szCs w:val="28"/>
        </w:rPr>
      </w:pPr>
    </w:p>
    <w:p w14:paraId="4D1DAFB0" w14:textId="77777777" w:rsidR="00CF0AC1" w:rsidRDefault="00CF0AC1" w:rsidP="00106769">
      <w:pPr>
        <w:jc w:val="center"/>
        <w:rPr>
          <w:rFonts w:ascii="黑体" w:eastAsia="黑体" w:hAnsi="黑体" w:cs="黑体"/>
          <w:b/>
          <w:bCs/>
          <w:sz w:val="32"/>
          <w:szCs w:val="32"/>
        </w:rPr>
      </w:pPr>
      <w:r>
        <w:rPr>
          <w:rFonts w:ascii="黑体" w:eastAsia="黑体" w:hAnsi="黑体" w:cs="黑体" w:hint="eastAsia"/>
          <w:b/>
          <w:bCs/>
          <w:sz w:val="32"/>
          <w:szCs w:val="32"/>
        </w:rPr>
        <w:t>中国对外投资环境风险管理倡议</w:t>
      </w:r>
    </w:p>
    <w:p w14:paraId="06E9E043" w14:textId="77777777" w:rsidR="00106769" w:rsidRDefault="00106769" w:rsidP="00882106">
      <w:pPr>
        <w:adjustRightInd w:val="0"/>
        <w:snapToGrid w:val="0"/>
        <w:jc w:val="center"/>
        <w:outlineLvl w:val="0"/>
        <w:rPr>
          <w:rFonts w:ascii="Times New Roman" w:eastAsia="仿宋" w:hAnsi="Times New Roman" w:cs="Times New Roman"/>
          <w:b/>
          <w:sz w:val="32"/>
          <w:szCs w:val="32"/>
        </w:rPr>
      </w:pPr>
      <w:r w:rsidRPr="00E86882">
        <w:rPr>
          <w:rFonts w:ascii="Times New Roman" w:eastAsia="仿宋" w:hAnsi="Times New Roman" w:cs="Times New Roman"/>
          <w:b/>
          <w:sz w:val="32"/>
          <w:szCs w:val="32"/>
        </w:rPr>
        <w:t>Environmental Risk Management Initiative</w:t>
      </w:r>
      <w:r>
        <w:rPr>
          <w:rFonts w:ascii="Times New Roman" w:eastAsia="仿宋" w:hAnsi="Times New Roman" w:cs="Times New Roman"/>
          <w:b/>
          <w:sz w:val="32"/>
          <w:szCs w:val="32"/>
        </w:rPr>
        <w:t xml:space="preserve"> </w:t>
      </w:r>
      <w:r>
        <w:rPr>
          <w:rFonts w:ascii="Times New Roman" w:eastAsia="仿宋" w:hAnsi="Times New Roman" w:cs="Times New Roman" w:hint="eastAsia"/>
          <w:b/>
          <w:sz w:val="32"/>
          <w:szCs w:val="32"/>
        </w:rPr>
        <w:t>for</w:t>
      </w:r>
    </w:p>
    <w:p w14:paraId="554D1E57" w14:textId="77777777" w:rsidR="00106769" w:rsidRDefault="00106769" w:rsidP="00882106">
      <w:pPr>
        <w:adjustRightInd w:val="0"/>
        <w:snapToGrid w:val="0"/>
        <w:jc w:val="center"/>
        <w:outlineLvl w:val="0"/>
        <w:rPr>
          <w:rFonts w:ascii="Times New Roman" w:eastAsia="仿宋" w:hAnsi="Times New Roman" w:cs="Times New Roman"/>
          <w:b/>
          <w:sz w:val="32"/>
          <w:szCs w:val="32"/>
        </w:rPr>
      </w:pPr>
      <w:r w:rsidRPr="00E86882">
        <w:rPr>
          <w:rFonts w:ascii="Times New Roman" w:eastAsia="仿宋" w:hAnsi="Times New Roman" w:cs="Times New Roman"/>
          <w:b/>
          <w:sz w:val="32"/>
          <w:szCs w:val="32"/>
        </w:rPr>
        <w:t>China’s Overse</w:t>
      </w:r>
      <w:r>
        <w:rPr>
          <w:rFonts w:ascii="Times New Roman" w:eastAsia="仿宋" w:hAnsi="Times New Roman" w:cs="Times New Roman"/>
          <w:b/>
          <w:sz w:val="32"/>
          <w:szCs w:val="32"/>
        </w:rPr>
        <w:t>as</w:t>
      </w:r>
      <w:r w:rsidRPr="00E86882">
        <w:rPr>
          <w:rFonts w:ascii="Times New Roman" w:eastAsia="仿宋" w:hAnsi="Times New Roman" w:cs="Times New Roman"/>
          <w:b/>
          <w:sz w:val="32"/>
          <w:szCs w:val="32"/>
        </w:rPr>
        <w:t xml:space="preserve"> Investment</w:t>
      </w:r>
    </w:p>
    <w:p w14:paraId="0A91CBB2" w14:textId="77777777" w:rsidR="00106769" w:rsidRDefault="00106769" w:rsidP="00106769">
      <w:pPr>
        <w:adjustRightInd w:val="0"/>
        <w:snapToGrid w:val="0"/>
        <w:jc w:val="center"/>
        <w:rPr>
          <w:rFonts w:ascii="Times New Roman" w:eastAsia="仿宋" w:hAnsi="Times New Roman" w:cs="Times New Roman"/>
          <w:b/>
          <w:sz w:val="32"/>
          <w:szCs w:val="32"/>
        </w:rPr>
      </w:pPr>
    </w:p>
    <w:p w14:paraId="16402836" w14:textId="77777777" w:rsidR="00106769" w:rsidRDefault="00106769" w:rsidP="00106769">
      <w:pPr>
        <w:adjustRightInd w:val="0"/>
        <w:snapToGrid w:val="0"/>
        <w:jc w:val="center"/>
        <w:rPr>
          <w:rFonts w:ascii="Times New Roman" w:eastAsia="仿宋" w:hAnsi="Times New Roman" w:cs="Times New Roman"/>
          <w:b/>
          <w:sz w:val="32"/>
          <w:szCs w:val="32"/>
        </w:rPr>
      </w:pPr>
    </w:p>
    <w:p w14:paraId="36534A1A" w14:textId="77777777" w:rsidR="00DF5AD5" w:rsidRDefault="00DF5AD5" w:rsidP="00106769">
      <w:pPr>
        <w:adjustRightInd w:val="0"/>
        <w:snapToGrid w:val="0"/>
        <w:jc w:val="center"/>
        <w:rPr>
          <w:rFonts w:ascii="Times New Roman" w:eastAsia="仿宋" w:hAnsi="Times New Roman" w:cs="Times New Roman"/>
          <w:b/>
          <w:sz w:val="32"/>
          <w:szCs w:val="32"/>
        </w:rPr>
      </w:pPr>
    </w:p>
    <w:p w14:paraId="344EA0E9" w14:textId="77777777" w:rsidR="00DF5AD5" w:rsidRDefault="00DF5AD5" w:rsidP="00106769">
      <w:pPr>
        <w:adjustRightInd w:val="0"/>
        <w:snapToGrid w:val="0"/>
        <w:jc w:val="center"/>
        <w:rPr>
          <w:rFonts w:ascii="Times New Roman" w:eastAsia="仿宋" w:hAnsi="Times New Roman" w:cs="Times New Roman"/>
          <w:b/>
          <w:sz w:val="32"/>
          <w:szCs w:val="32"/>
        </w:rPr>
      </w:pPr>
    </w:p>
    <w:p w14:paraId="477FDFD6" w14:textId="77777777" w:rsidR="00DF5AD5" w:rsidRDefault="00DF5AD5" w:rsidP="00106769">
      <w:pPr>
        <w:adjustRightInd w:val="0"/>
        <w:snapToGrid w:val="0"/>
        <w:jc w:val="center"/>
        <w:rPr>
          <w:rFonts w:ascii="Times New Roman" w:eastAsia="仿宋" w:hAnsi="Times New Roman" w:cs="Times New Roman"/>
          <w:b/>
          <w:sz w:val="32"/>
          <w:szCs w:val="32"/>
        </w:rPr>
      </w:pPr>
    </w:p>
    <w:p w14:paraId="0FBB02BD" w14:textId="77777777" w:rsidR="00106769" w:rsidRPr="00E86882" w:rsidRDefault="00106769" w:rsidP="00106769">
      <w:pPr>
        <w:adjustRightInd w:val="0"/>
        <w:snapToGrid w:val="0"/>
        <w:jc w:val="center"/>
        <w:rPr>
          <w:rFonts w:ascii="Times New Roman" w:eastAsia="仿宋" w:hAnsi="Times New Roman" w:cs="Times New Roman"/>
          <w:b/>
          <w:sz w:val="32"/>
          <w:szCs w:val="32"/>
        </w:rPr>
      </w:pPr>
    </w:p>
    <w:p w14:paraId="1464D904" w14:textId="77777777" w:rsidR="00106769" w:rsidRPr="00DF5AD5" w:rsidRDefault="00106769" w:rsidP="00106769">
      <w:pPr>
        <w:widowControl/>
        <w:spacing w:after="5" w:line="250" w:lineRule="auto"/>
        <w:ind w:right="28"/>
        <w:jc w:val="center"/>
        <w:rPr>
          <w:rFonts w:ascii="仿宋" w:eastAsia="仿宋" w:hAnsi="仿宋" w:cs="仿宋"/>
          <w:sz w:val="24"/>
          <w:szCs w:val="24"/>
        </w:rPr>
      </w:pPr>
      <w:r w:rsidRPr="00DF5AD5">
        <w:rPr>
          <w:rFonts w:ascii="仿宋" w:eastAsia="仿宋" w:hAnsi="仿宋" w:cs="仿宋" w:hint="eastAsia"/>
          <w:sz w:val="24"/>
          <w:szCs w:val="24"/>
        </w:rPr>
        <w:t>中国金融学会绿色金融专业委员会</w:t>
      </w:r>
    </w:p>
    <w:p w14:paraId="7BE62572" w14:textId="77777777" w:rsidR="00106769" w:rsidRPr="00DF5AD5" w:rsidRDefault="00106769" w:rsidP="00106769">
      <w:pPr>
        <w:widowControl/>
        <w:spacing w:after="5" w:line="250" w:lineRule="auto"/>
        <w:ind w:right="28"/>
        <w:jc w:val="center"/>
        <w:rPr>
          <w:rFonts w:ascii="仿宋" w:eastAsia="仿宋" w:hAnsi="仿宋" w:cstheme="minorBidi"/>
          <w:sz w:val="24"/>
          <w:szCs w:val="24"/>
        </w:rPr>
      </w:pPr>
      <w:r w:rsidRPr="00DF5AD5">
        <w:rPr>
          <w:rFonts w:ascii="Times New Roman" w:hAnsi="Times New Roman" w:cs="Times New Roman"/>
          <w:sz w:val="24"/>
          <w:szCs w:val="24"/>
        </w:rPr>
        <w:t>Green Finance Committee (GFC) of China Society for Finance and Banking</w:t>
      </w:r>
    </w:p>
    <w:p w14:paraId="4737930E" w14:textId="77777777" w:rsidR="00106769" w:rsidRPr="00DF5AD5" w:rsidRDefault="00106769" w:rsidP="00106769">
      <w:pPr>
        <w:adjustRightInd w:val="0"/>
        <w:snapToGrid w:val="0"/>
        <w:jc w:val="center"/>
        <w:rPr>
          <w:rFonts w:ascii="仿宋" w:eastAsia="仿宋" w:hAnsi="仿宋" w:cs="仿宋"/>
          <w:sz w:val="24"/>
          <w:szCs w:val="24"/>
        </w:rPr>
      </w:pPr>
      <w:r w:rsidRPr="00DF5AD5">
        <w:rPr>
          <w:rFonts w:ascii="仿宋" w:eastAsia="仿宋" w:hAnsi="仿宋" w:cs="仿宋" w:hint="eastAsia"/>
          <w:sz w:val="24"/>
          <w:szCs w:val="24"/>
        </w:rPr>
        <w:t>中国投资协会</w:t>
      </w:r>
    </w:p>
    <w:p w14:paraId="3A1157AE" w14:textId="77777777" w:rsidR="00106769" w:rsidRPr="00DF5AD5" w:rsidRDefault="00106769" w:rsidP="00106769">
      <w:pPr>
        <w:adjustRightInd w:val="0"/>
        <w:snapToGrid w:val="0"/>
        <w:jc w:val="center"/>
        <w:rPr>
          <w:rFonts w:ascii="Times New Roman" w:hAnsi="Times New Roman" w:cs="Times New Roman"/>
          <w:sz w:val="24"/>
          <w:szCs w:val="24"/>
        </w:rPr>
      </w:pPr>
      <w:r w:rsidRPr="00DF5AD5">
        <w:rPr>
          <w:rFonts w:ascii="Times New Roman" w:hAnsi="Times New Roman" w:cs="Times New Roman"/>
          <w:sz w:val="24"/>
          <w:szCs w:val="24"/>
        </w:rPr>
        <w:t>Investment Association of China (IAC)</w:t>
      </w:r>
    </w:p>
    <w:p w14:paraId="465D6EA6" w14:textId="77777777" w:rsidR="00106769" w:rsidRPr="00DF5AD5" w:rsidRDefault="00106769" w:rsidP="00106769">
      <w:pPr>
        <w:widowControl/>
        <w:spacing w:after="5" w:line="250" w:lineRule="auto"/>
        <w:ind w:right="28"/>
        <w:jc w:val="center"/>
        <w:rPr>
          <w:rFonts w:ascii="仿宋" w:eastAsia="仿宋" w:hAnsi="仿宋" w:cstheme="minorBidi"/>
          <w:sz w:val="24"/>
          <w:szCs w:val="24"/>
        </w:rPr>
      </w:pPr>
      <w:r w:rsidRPr="00DF5AD5">
        <w:rPr>
          <w:rFonts w:ascii="仿宋" w:eastAsia="仿宋" w:hAnsi="仿宋" w:cs="仿宋" w:hint="eastAsia"/>
          <w:sz w:val="24"/>
          <w:szCs w:val="24"/>
        </w:rPr>
        <w:t>中国银行业协会</w:t>
      </w:r>
    </w:p>
    <w:p w14:paraId="096AB83D" w14:textId="77777777" w:rsidR="00106769" w:rsidRPr="00DF5AD5" w:rsidRDefault="00106769" w:rsidP="00106769">
      <w:pPr>
        <w:widowControl/>
        <w:spacing w:after="5" w:line="250" w:lineRule="auto"/>
        <w:ind w:right="28"/>
        <w:jc w:val="center"/>
        <w:rPr>
          <w:rFonts w:ascii="Times New Roman" w:hAnsi="Times New Roman" w:cs="Times New Roman"/>
          <w:sz w:val="24"/>
          <w:szCs w:val="24"/>
        </w:rPr>
      </w:pPr>
      <w:r w:rsidRPr="00DF5AD5">
        <w:rPr>
          <w:rFonts w:ascii="Times New Roman" w:hAnsi="Times New Roman" w:cs="Times New Roman"/>
          <w:sz w:val="24"/>
          <w:szCs w:val="24"/>
        </w:rPr>
        <w:t>China Banking Association (CBA)</w:t>
      </w:r>
    </w:p>
    <w:p w14:paraId="5E2ABF25" w14:textId="77777777" w:rsidR="00106769" w:rsidRPr="00DF5AD5" w:rsidRDefault="00106769" w:rsidP="00106769">
      <w:pPr>
        <w:widowControl/>
        <w:spacing w:after="5" w:line="250" w:lineRule="auto"/>
        <w:ind w:right="28"/>
        <w:jc w:val="center"/>
        <w:rPr>
          <w:rFonts w:ascii="仿宋" w:eastAsia="仿宋" w:hAnsi="仿宋" w:cstheme="minorBidi"/>
          <w:sz w:val="24"/>
          <w:szCs w:val="24"/>
        </w:rPr>
      </w:pPr>
      <w:r w:rsidRPr="00DF5AD5">
        <w:rPr>
          <w:rFonts w:ascii="仿宋" w:eastAsia="仿宋" w:hAnsi="仿宋" w:cs="仿宋" w:hint="eastAsia"/>
          <w:sz w:val="24"/>
          <w:szCs w:val="24"/>
        </w:rPr>
        <w:t>中国证券投资基金业协会</w:t>
      </w:r>
    </w:p>
    <w:p w14:paraId="28F3D71E" w14:textId="77777777" w:rsidR="00106769" w:rsidRPr="00DF5AD5" w:rsidRDefault="00106769" w:rsidP="00106769">
      <w:pPr>
        <w:widowControl/>
        <w:spacing w:after="5" w:line="250" w:lineRule="auto"/>
        <w:ind w:right="28"/>
        <w:jc w:val="center"/>
        <w:rPr>
          <w:rFonts w:ascii="仿宋" w:eastAsia="仿宋" w:hAnsi="仿宋" w:cs="仿宋"/>
          <w:sz w:val="24"/>
          <w:szCs w:val="24"/>
        </w:rPr>
      </w:pPr>
      <w:r w:rsidRPr="00DF5AD5">
        <w:rPr>
          <w:rFonts w:ascii="Times New Roman" w:hAnsi="Times New Roman" w:cs="Times New Roman"/>
          <w:sz w:val="24"/>
          <w:szCs w:val="24"/>
        </w:rPr>
        <w:t>Asset Management Association of China (AMAC)</w:t>
      </w:r>
    </w:p>
    <w:p w14:paraId="2D906A39" w14:textId="77777777" w:rsidR="00106769" w:rsidRPr="00DF5AD5" w:rsidRDefault="00106769" w:rsidP="00106769">
      <w:pPr>
        <w:widowControl/>
        <w:spacing w:after="5" w:line="250" w:lineRule="auto"/>
        <w:ind w:right="28"/>
        <w:jc w:val="center"/>
        <w:rPr>
          <w:rFonts w:ascii="仿宋" w:eastAsia="仿宋" w:hAnsi="仿宋" w:cstheme="minorBidi"/>
          <w:sz w:val="24"/>
          <w:szCs w:val="24"/>
        </w:rPr>
      </w:pPr>
      <w:r w:rsidRPr="00DF5AD5">
        <w:rPr>
          <w:rFonts w:ascii="仿宋" w:eastAsia="仿宋" w:hAnsi="仿宋" w:cs="仿宋" w:hint="eastAsia"/>
          <w:sz w:val="24"/>
          <w:szCs w:val="24"/>
        </w:rPr>
        <w:t>中国保险资产管理业协会</w:t>
      </w:r>
    </w:p>
    <w:p w14:paraId="1847DBC2" w14:textId="77777777" w:rsidR="00106769" w:rsidRPr="00DF5AD5" w:rsidRDefault="00106769" w:rsidP="00106769">
      <w:pPr>
        <w:adjustRightInd w:val="0"/>
        <w:snapToGrid w:val="0"/>
        <w:jc w:val="center"/>
        <w:rPr>
          <w:rFonts w:ascii="Times New Roman" w:hAnsi="Times New Roman" w:cs="Times New Roman"/>
          <w:sz w:val="24"/>
          <w:szCs w:val="24"/>
        </w:rPr>
      </w:pPr>
      <w:r w:rsidRPr="00DF5AD5">
        <w:rPr>
          <w:rFonts w:ascii="Times New Roman" w:hAnsi="Times New Roman" w:cs="Times New Roman"/>
          <w:sz w:val="24"/>
          <w:szCs w:val="24"/>
        </w:rPr>
        <w:t>Insurance Asset Management Association of China (IAMAC)</w:t>
      </w:r>
    </w:p>
    <w:p w14:paraId="17C66D28" w14:textId="77777777" w:rsidR="00106769" w:rsidRPr="00DF5AD5" w:rsidRDefault="00106769" w:rsidP="00106769">
      <w:pPr>
        <w:widowControl/>
        <w:spacing w:after="5" w:line="250" w:lineRule="auto"/>
        <w:ind w:right="28"/>
        <w:jc w:val="center"/>
        <w:rPr>
          <w:rFonts w:ascii="仿宋" w:eastAsia="仿宋" w:hAnsi="仿宋" w:cstheme="minorBidi"/>
          <w:sz w:val="24"/>
          <w:szCs w:val="24"/>
        </w:rPr>
      </w:pPr>
      <w:r w:rsidRPr="00DF5AD5">
        <w:rPr>
          <w:rFonts w:ascii="仿宋" w:eastAsia="仿宋" w:hAnsi="仿宋" w:cs="仿宋" w:hint="eastAsia"/>
          <w:sz w:val="24"/>
          <w:szCs w:val="24"/>
        </w:rPr>
        <w:t>中国信托业协会</w:t>
      </w:r>
    </w:p>
    <w:p w14:paraId="32565C8B" w14:textId="77777777" w:rsidR="00106769" w:rsidRPr="00DF5AD5" w:rsidRDefault="00106769" w:rsidP="00106769">
      <w:pPr>
        <w:adjustRightInd w:val="0"/>
        <w:snapToGrid w:val="0"/>
        <w:jc w:val="center"/>
        <w:rPr>
          <w:rFonts w:ascii="Times New Roman" w:hAnsi="Times New Roman" w:cs="Times New Roman"/>
          <w:sz w:val="24"/>
          <w:szCs w:val="24"/>
        </w:rPr>
      </w:pPr>
      <w:r w:rsidRPr="00DF5AD5">
        <w:rPr>
          <w:rFonts w:ascii="Times New Roman" w:hAnsi="Times New Roman" w:cs="Times New Roman"/>
          <w:sz w:val="24"/>
          <w:szCs w:val="24"/>
        </w:rPr>
        <w:t>China Trustee Association (CTA)</w:t>
      </w:r>
    </w:p>
    <w:p w14:paraId="3628FF23" w14:textId="77777777" w:rsidR="00CF0AC1" w:rsidRPr="00DF5AD5" w:rsidRDefault="00106769" w:rsidP="00106769">
      <w:pPr>
        <w:widowControl/>
        <w:spacing w:after="5" w:line="250" w:lineRule="auto"/>
        <w:ind w:right="28"/>
        <w:jc w:val="center"/>
        <w:rPr>
          <w:rFonts w:ascii="仿宋" w:eastAsia="仿宋" w:hAnsi="仿宋" w:cstheme="minorBidi"/>
          <w:sz w:val="24"/>
          <w:szCs w:val="24"/>
        </w:rPr>
      </w:pPr>
      <w:r w:rsidRPr="00DF5AD5">
        <w:rPr>
          <w:rFonts w:ascii="仿宋" w:eastAsia="仿宋" w:hAnsi="仿宋" w:cs="仿宋" w:hint="eastAsia"/>
          <w:sz w:val="24"/>
          <w:szCs w:val="24"/>
        </w:rPr>
        <w:t>环境保护部环境保护对外合作中心</w:t>
      </w:r>
    </w:p>
    <w:p w14:paraId="5DD0B5DC" w14:textId="77777777" w:rsidR="00CF0AC1" w:rsidRPr="00DF5AD5" w:rsidRDefault="00CF0AC1" w:rsidP="00106769">
      <w:pPr>
        <w:adjustRightInd w:val="0"/>
        <w:snapToGrid w:val="0"/>
        <w:jc w:val="center"/>
        <w:rPr>
          <w:rFonts w:ascii="Times New Roman" w:hAnsi="Times New Roman" w:cs="Times New Roman"/>
          <w:sz w:val="24"/>
          <w:szCs w:val="24"/>
        </w:rPr>
      </w:pPr>
      <w:r w:rsidRPr="00DF5AD5">
        <w:rPr>
          <w:rFonts w:ascii="Times New Roman" w:hAnsi="Times New Roman" w:cs="Times New Roman"/>
          <w:sz w:val="24"/>
          <w:szCs w:val="24"/>
        </w:rPr>
        <w:t>Foreign Economic Cooperation Office (FECO) of Ministry of Environment Protection</w:t>
      </w:r>
    </w:p>
    <w:p w14:paraId="2ADD9217" w14:textId="77777777" w:rsidR="00CF0AC1" w:rsidRPr="00DF5AD5" w:rsidRDefault="00CF0AC1" w:rsidP="00CF0AC1">
      <w:pPr>
        <w:pStyle w:val="af1"/>
        <w:adjustRightInd w:val="0"/>
        <w:snapToGrid w:val="0"/>
        <w:ind w:left="1080" w:firstLineChars="0" w:firstLine="0"/>
        <w:jc w:val="center"/>
        <w:rPr>
          <w:rFonts w:ascii="Times New Roman" w:hAnsi="Times New Roman" w:cs="Times New Roman"/>
          <w:sz w:val="24"/>
        </w:rPr>
      </w:pPr>
    </w:p>
    <w:p w14:paraId="113A35AE" w14:textId="77777777" w:rsidR="00106769" w:rsidRDefault="00106769" w:rsidP="00CF0AC1">
      <w:pPr>
        <w:pStyle w:val="af1"/>
        <w:adjustRightInd w:val="0"/>
        <w:snapToGrid w:val="0"/>
        <w:ind w:left="1080" w:firstLineChars="0" w:firstLine="0"/>
        <w:jc w:val="center"/>
        <w:rPr>
          <w:rFonts w:ascii="Times New Roman" w:hAnsi="Times New Roman" w:cs="Times New Roman"/>
          <w:sz w:val="24"/>
        </w:rPr>
      </w:pPr>
    </w:p>
    <w:p w14:paraId="012A05F8" w14:textId="77777777" w:rsidR="00DF5AD5" w:rsidRDefault="00DF5AD5" w:rsidP="00CF0AC1">
      <w:pPr>
        <w:pStyle w:val="af1"/>
        <w:adjustRightInd w:val="0"/>
        <w:snapToGrid w:val="0"/>
        <w:ind w:left="1080" w:firstLineChars="0" w:firstLine="0"/>
        <w:jc w:val="center"/>
        <w:rPr>
          <w:rFonts w:ascii="Times New Roman" w:hAnsi="Times New Roman" w:cs="Times New Roman"/>
          <w:sz w:val="24"/>
        </w:rPr>
      </w:pPr>
    </w:p>
    <w:p w14:paraId="44339F95" w14:textId="77777777" w:rsidR="00DF5AD5" w:rsidRDefault="00DF5AD5" w:rsidP="00CF0AC1">
      <w:pPr>
        <w:pStyle w:val="af1"/>
        <w:adjustRightInd w:val="0"/>
        <w:snapToGrid w:val="0"/>
        <w:ind w:left="1080" w:firstLineChars="0" w:firstLine="0"/>
        <w:jc w:val="center"/>
        <w:rPr>
          <w:rFonts w:ascii="Times New Roman" w:hAnsi="Times New Roman" w:cs="Times New Roman"/>
          <w:sz w:val="24"/>
        </w:rPr>
      </w:pPr>
    </w:p>
    <w:p w14:paraId="0B7E0295" w14:textId="77777777" w:rsidR="00DF5AD5" w:rsidRDefault="00DF5AD5" w:rsidP="00CF0AC1">
      <w:pPr>
        <w:pStyle w:val="af1"/>
        <w:adjustRightInd w:val="0"/>
        <w:snapToGrid w:val="0"/>
        <w:ind w:left="1080" w:firstLineChars="0" w:firstLine="0"/>
        <w:jc w:val="center"/>
        <w:rPr>
          <w:rFonts w:ascii="Times New Roman" w:hAnsi="Times New Roman" w:cs="Times New Roman"/>
          <w:sz w:val="24"/>
        </w:rPr>
      </w:pPr>
    </w:p>
    <w:p w14:paraId="7C35B8D6" w14:textId="77777777" w:rsidR="00DF5AD5" w:rsidRDefault="00DF5AD5" w:rsidP="00CF0AC1">
      <w:pPr>
        <w:pStyle w:val="af1"/>
        <w:adjustRightInd w:val="0"/>
        <w:snapToGrid w:val="0"/>
        <w:ind w:left="1080" w:firstLineChars="0" w:firstLine="0"/>
        <w:jc w:val="center"/>
        <w:rPr>
          <w:rFonts w:ascii="Times New Roman" w:hAnsi="Times New Roman" w:cs="Times New Roman"/>
          <w:sz w:val="24"/>
        </w:rPr>
      </w:pPr>
    </w:p>
    <w:p w14:paraId="3400D81D" w14:textId="77777777" w:rsidR="00DF5AD5" w:rsidRDefault="00DF5AD5" w:rsidP="00CF0AC1">
      <w:pPr>
        <w:pStyle w:val="af1"/>
        <w:adjustRightInd w:val="0"/>
        <w:snapToGrid w:val="0"/>
        <w:ind w:left="1080" w:firstLineChars="0" w:firstLine="0"/>
        <w:jc w:val="center"/>
        <w:rPr>
          <w:rFonts w:ascii="Times New Roman" w:hAnsi="Times New Roman" w:cs="Times New Roman"/>
          <w:sz w:val="24"/>
        </w:rPr>
      </w:pPr>
    </w:p>
    <w:p w14:paraId="1F6F9971" w14:textId="77777777" w:rsidR="00DF5AD5" w:rsidRDefault="00DF5AD5" w:rsidP="00CF0AC1">
      <w:pPr>
        <w:pStyle w:val="af1"/>
        <w:adjustRightInd w:val="0"/>
        <w:snapToGrid w:val="0"/>
        <w:ind w:left="1080" w:firstLineChars="0" w:firstLine="0"/>
        <w:jc w:val="center"/>
        <w:rPr>
          <w:rFonts w:ascii="Times New Roman" w:hAnsi="Times New Roman" w:cs="Times New Roman"/>
          <w:sz w:val="24"/>
        </w:rPr>
      </w:pPr>
    </w:p>
    <w:p w14:paraId="175E53C7" w14:textId="77777777" w:rsidR="00106769" w:rsidRPr="00DF5AD5" w:rsidRDefault="00106769" w:rsidP="00DF5AD5">
      <w:pPr>
        <w:adjustRightInd w:val="0"/>
        <w:snapToGrid w:val="0"/>
        <w:rPr>
          <w:rFonts w:ascii="Times New Roman" w:hAnsi="Times New Roman" w:cs="Times New Roman"/>
          <w:sz w:val="24"/>
        </w:rPr>
      </w:pPr>
    </w:p>
    <w:p w14:paraId="18C0B6F6" w14:textId="77777777" w:rsidR="00DF5AD5" w:rsidRDefault="00DF5AD5" w:rsidP="00CF0AC1">
      <w:pPr>
        <w:pStyle w:val="af1"/>
        <w:adjustRightInd w:val="0"/>
        <w:snapToGrid w:val="0"/>
        <w:ind w:left="1080" w:firstLineChars="0" w:firstLine="0"/>
        <w:jc w:val="center"/>
        <w:rPr>
          <w:rFonts w:ascii="Times New Roman" w:hAnsi="Times New Roman" w:cs="Times New Roman"/>
          <w:sz w:val="24"/>
        </w:rPr>
      </w:pPr>
    </w:p>
    <w:p w14:paraId="3437C1A7" w14:textId="77777777" w:rsidR="00DF5AD5" w:rsidRPr="00DF5AD5" w:rsidRDefault="00DF5AD5" w:rsidP="00CF0AC1">
      <w:pPr>
        <w:pStyle w:val="af1"/>
        <w:adjustRightInd w:val="0"/>
        <w:snapToGrid w:val="0"/>
        <w:ind w:left="1080" w:firstLineChars="0" w:firstLine="0"/>
        <w:jc w:val="center"/>
        <w:rPr>
          <w:rFonts w:ascii="Times New Roman" w:hAnsi="Times New Roman" w:cs="Times New Roman"/>
          <w:sz w:val="24"/>
        </w:rPr>
      </w:pPr>
    </w:p>
    <w:p w14:paraId="5A0CE5AE" w14:textId="77777777" w:rsidR="00106769" w:rsidRPr="00DF5AD5" w:rsidRDefault="00106769" w:rsidP="00DF5AD5">
      <w:pPr>
        <w:widowControl/>
        <w:spacing w:after="5" w:line="250" w:lineRule="auto"/>
        <w:ind w:right="28"/>
        <w:jc w:val="center"/>
        <w:rPr>
          <w:rFonts w:ascii="仿宋" w:eastAsia="仿宋" w:hAnsi="仿宋" w:cs="仿宋"/>
          <w:sz w:val="24"/>
          <w:szCs w:val="24"/>
        </w:rPr>
      </w:pPr>
      <w:r w:rsidRPr="00DF5AD5">
        <w:rPr>
          <w:rFonts w:ascii="仿宋" w:eastAsia="仿宋" w:hAnsi="仿宋" w:cs="仿宋"/>
          <w:sz w:val="24"/>
          <w:szCs w:val="24"/>
        </w:rPr>
        <w:t xml:space="preserve">2017 </w:t>
      </w:r>
      <w:r w:rsidRPr="00DF5AD5">
        <w:rPr>
          <w:rFonts w:ascii="仿宋" w:eastAsia="仿宋" w:hAnsi="仿宋" w:cs="仿宋" w:hint="eastAsia"/>
          <w:sz w:val="24"/>
          <w:szCs w:val="24"/>
        </w:rPr>
        <w:t>年</w:t>
      </w:r>
      <w:r w:rsidRPr="00DF5AD5">
        <w:rPr>
          <w:rFonts w:ascii="仿宋" w:eastAsia="仿宋" w:hAnsi="仿宋" w:cs="仿宋"/>
          <w:sz w:val="24"/>
          <w:szCs w:val="24"/>
        </w:rPr>
        <w:t>9</w:t>
      </w:r>
      <w:r w:rsidRPr="00DF5AD5">
        <w:rPr>
          <w:rFonts w:ascii="仿宋" w:eastAsia="仿宋" w:hAnsi="仿宋" w:cs="仿宋" w:hint="eastAsia"/>
          <w:sz w:val="24"/>
          <w:szCs w:val="24"/>
        </w:rPr>
        <w:t>月</w:t>
      </w:r>
      <w:r w:rsidRPr="00DF5AD5">
        <w:rPr>
          <w:rFonts w:ascii="仿宋" w:eastAsia="仿宋" w:hAnsi="仿宋" w:cs="仿宋"/>
          <w:sz w:val="24"/>
          <w:szCs w:val="24"/>
        </w:rPr>
        <w:t>5</w:t>
      </w:r>
      <w:r w:rsidRPr="00DF5AD5">
        <w:rPr>
          <w:rFonts w:ascii="仿宋" w:eastAsia="仿宋" w:hAnsi="仿宋" w:cs="仿宋" w:hint="eastAsia"/>
          <w:sz w:val="24"/>
          <w:szCs w:val="24"/>
        </w:rPr>
        <w:t>日</w:t>
      </w:r>
    </w:p>
    <w:p w14:paraId="3BD41F06" w14:textId="77777777" w:rsidR="00B05188" w:rsidRDefault="00CF0AC1" w:rsidP="00DF5AD5">
      <w:pPr>
        <w:widowControl/>
        <w:spacing w:after="5" w:line="250" w:lineRule="auto"/>
        <w:ind w:right="28"/>
        <w:jc w:val="center"/>
        <w:rPr>
          <w:rFonts w:ascii="Times New Roman" w:hAnsi="Times New Roman" w:cs="Times New Roman"/>
          <w:sz w:val="24"/>
          <w:szCs w:val="24"/>
        </w:rPr>
      </w:pPr>
      <w:r w:rsidRPr="00DF5AD5">
        <w:rPr>
          <w:rFonts w:ascii="Times New Roman" w:hAnsi="Times New Roman" w:cs="Times New Roman"/>
          <w:sz w:val="24"/>
          <w:szCs w:val="24"/>
        </w:rPr>
        <w:t>September 5, 2017</w:t>
      </w:r>
    </w:p>
    <w:p w14:paraId="53B708B6" w14:textId="77777777" w:rsidR="00F8307A" w:rsidRDefault="00F8307A" w:rsidP="00DF5AD5">
      <w:pPr>
        <w:widowControl/>
        <w:spacing w:after="5" w:line="250" w:lineRule="auto"/>
        <w:ind w:right="28"/>
        <w:jc w:val="center"/>
        <w:rPr>
          <w:rFonts w:ascii="仿宋" w:eastAsia="仿宋" w:hAnsi="仿宋" w:cs="仿宋"/>
          <w:sz w:val="24"/>
          <w:szCs w:val="24"/>
        </w:rPr>
        <w:sectPr w:rsidR="00F8307A" w:rsidSect="006624F4">
          <w:footerReference w:type="default" r:id="rId8"/>
          <w:pgSz w:w="11906" w:h="16838"/>
          <w:pgMar w:top="1440" w:right="1800" w:bottom="1440" w:left="1800" w:header="851" w:footer="992" w:gutter="0"/>
          <w:pgNumType w:start="1"/>
          <w:cols w:space="425"/>
          <w:titlePg/>
          <w:docGrid w:type="lines" w:linePitch="312"/>
        </w:sectPr>
      </w:pPr>
    </w:p>
    <w:p w14:paraId="2FD61EA9" w14:textId="77777777" w:rsidR="00B05188" w:rsidRDefault="00B05188">
      <w:pPr>
        <w:rPr>
          <w:rFonts w:ascii="仿宋" w:eastAsia="仿宋" w:hAnsi="仿宋" w:cstheme="minorBidi"/>
          <w:sz w:val="28"/>
          <w:szCs w:val="28"/>
        </w:rPr>
      </w:pPr>
    </w:p>
    <w:p w14:paraId="44630C7D" w14:textId="77777777" w:rsidR="00B05188" w:rsidRDefault="00D554D3">
      <w:pPr>
        <w:jc w:val="center"/>
        <w:rPr>
          <w:rFonts w:ascii="仿宋" w:eastAsia="仿宋" w:hAnsi="仿宋" w:cstheme="minorBidi"/>
          <w:b/>
          <w:bCs/>
          <w:sz w:val="32"/>
          <w:szCs w:val="32"/>
        </w:rPr>
      </w:pPr>
      <w:r>
        <w:rPr>
          <w:rFonts w:ascii="黑体" w:eastAsia="黑体" w:hAnsi="黑体" w:cs="黑体" w:hint="eastAsia"/>
          <w:b/>
          <w:bCs/>
          <w:sz w:val="32"/>
          <w:szCs w:val="32"/>
        </w:rPr>
        <w:t>中国对外投资环境风险管理倡议</w:t>
      </w:r>
      <w:r>
        <w:rPr>
          <w:rFonts w:ascii="黑体" w:eastAsia="黑体" w:hAnsi="黑体" w:cs="黑体"/>
          <w:b/>
          <w:bCs/>
          <w:sz w:val="32"/>
          <w:szCs w:val="32"/>
        </w:rPr>
        <w:t xml:space="preserve"> </w:t>
      </w:r>
    </w:p>
    <w:p w14:paraId="26E3021C" w14:textId="77777777" w:rsidR="00B05188" w:rsidRDefault="00D2303A" w:rsidP="00DF5AD5">
      <w:pPr>
        <w:jc w:val="center"/>
        <w:rPr>
          <w:rFonts w:ascii="仿宋" w:eastAsia="仿宋" w:hAnsi="仿宋" w:cstheme="minorBidi"/>
          <w:sz w:val="28"/>
          <w:szCs w:val="28"/>
        </w:rPr>
      </w:pPr>
      <w:r>
        <w:rPr>
          <w:rFonts w:ascii="仿宋" w:eastAsia="仿宋" w:hAnsi="仿宋" w:cs="仿宋" w:hint="eastAsia"/>
          <w:sz w:val="28"/>
          <w:szCs w:val="28"/>
        </w:rPr>
        <w:t xml:space="preserve"> </w:t>
      </w:r>
    </w:p>
    <w:p w14:paraId="6DD4B8D2" w14:textId="7C86D34B" w:rsidR="00B05188" w:rsidRPr="00D2303A" w:rsidRDefault="00D554D3" w:rsidP="00D2303A">
      <w:pPr>
        <w:widowControl/>
        <w:autoSpaceDE w:val="0"/>
        <w:autoSpaceDN w:val="0"/>
        <w:adjustRightInd w:val="0"/>
        <w:ind w:firstLine="420"/>
        <w:rPr>
          <w:rFonts w:ascii="仿宋" w:eastAsia="仿宋" w:hAnsi="仿宋" w:cstheme="minorBidi"/>
          <w:color w:val="262626"/>
          <w:kern w:val="0"/>
          <w:sz w:val="28"/>
          <w:szCs w:val="28"/>
        </w:rPr>
      </w:pPr>
      <w:r>
        <w:rPr>
          <w:rFonts w:ascii="仿宋" w:eastAsia="仿宋" w:hAnsi="仿宋" w:cs="仿宋" w:hint="eastAsia"/>
          <w:color w:val="262626"/>
          <w:kern w:val="0"/>
          <w:sz w:val="28"/>
          <w:szCs w:val="28"/>
        </w:rPr>
        <w:t>为了</w:t>
      </w:r>
      <w:r w:rsidR="00A519F4">
        <w:rPr>
          <w:rFonts w:ascii="仿宋" w:eastAsia="仿宋" w:hAnsi="仿宋" w:cs="仿宋" w:hint="eastAsia"/>
          <w:color w:val="262626"/>
          <w:kern w:val="0"/>
          <w:sz w:val="28"/>
          <w:szCs w:val="28"/>
        </w:rPr>
        <w:t>鼓励和</w:t>
      </w:r>
      <w:r>
        <w:rPr>
          <w:rFonts w:ascii="仿宋" w:eastAsia="仿宋" w:hAnsi="仿宋" w:cs="仿宋" w:hint="eastAsia"/>
          <w:color w:val="262626"/>
          <w:kern w:val="0"/>
          <w:sz w:val="28"/>
          <w:szCs w:val="28"/>
        </w:rPr>
        <w:t>引导中国金融机构和企业在对外投资过程</w:t>
      </w:r>
      <w:r w:rsidR="00A519F4">
        <w:rPr>
          <w:rFonts w:ascii="仿宋" w:eastAsia="仿宋" w:hAnsi="仿宋" w:cs="仿宋" w:hint="eastAsia"/>
          <w:color w:val="262626"/>
          <w:kern w:val="0"/>
          <w:sz w:val="28"/>
          <w:szCs w:val="28"/>
        </w:rPr>
        <w:t>中</w:t>
      </w:r>
      <w:r>
        <w:rPr>
          <w:rFonts w:ascii="仿宋" w:eastAsia="仿宋" w:hAnsi="仿宋" w:cs="仿宋" w:hint="eastAsia"/>
          <w:color w:val="262626"/>
          <w:kern w:val="0"/>
          <w:sz w:val="28"/>
          <w:szCs w:val="28"/>
        </w:rPr>
        <w:t>强化</w:t>
      </w:r>
      <w:r w:rsidR="00A519F4">
        <w:rPr>
          <w:rFonts w:ascii="仿宋" w:eastAsia="仿宋" w:hAnsi="仿宋" w:cs="仿宋" w:hint="eastAsia"/>
          <w:color w:val="262626"/>
          <w:kern w:val="0"/>
          <w:sz w:val="28"/>
          <w:szCs w:val="28"/>
        </w:rPr>
        <w:t>环境风险</w:t>
      </w:r>
      <w:r>
        <w:rPr>
          <w:rFonts w:ascii="仿宋" w:eastAsia="仿宋" w:hAnsi="仿宋" w:cs="仿宋" w:hint="eastAsia"/>
          <w:color w:val="262626"/>
          <w:kern w:val="0"/>
          <w:sz w:val="28"/>
          <w:szCs w:val="28"/>
        </w:rPr>
        <w:t>管理，遵循责任投资原则，将生态文明和绿色发展理念融入“一带一路”建设，推动</w:t>
      </w:r>
      <w:r w:rsidR="00CC0E8C">
        <w:rPr>
          <w:rFonts w:ascii="仿宋" w:eastAsia="仿宋" w:hAnsi="仿宋" w:cs="仿宋" w:hint="eastAsia"/>
          <w:color w:val="262626"/>
          <w:kern w:val="0"/>
          <w:sz w:val="28"/>
          <w:szCs w:val="28"/>
        </w:rPr>
        <w:t>落实</w:t>
      </w:r>
      <w:r>
        <w:rPr>
          <w:rFonts w:ascii="仿宋" w:eastAsia="仿宋" w:hAnsi="仿宋" w:cs="仿宋" w:hint="eastAsia"/>
          <w:color w:val="262626"/>
          <w:kern w:val="0"/>
          <w:sz w:val="28"/>
          <w:szCs w:val="28"/>
        </w:rPr>
        <w:t>联合国</w:t>
      </w:r>
      <w:r w:rsidR="00882106">
        <w:rPr>
          <w:rFonts w:ascii="仿宋" w:eastAsia="仿宋" w:hAnsi="仿宋" w:cs="仿宋" w:hint="eastAsia"/>
          <w:color w:val="262626"/>
          <w:kern w:val="0"/>
          <w:sz w:val="28"/>
          <w:szCs w:val="28"/>
        </w:rPr>
        <w:t>《</w:t>
      </w:r>
      <w:r>
        <w:rPr>
          <w:rFonts w:ascii="仿宋" w:eastAsia="仿宋" w:hAnsi="仿宋" w:cs="仿宋"/>
          <w:color w:val="262626"/>
          <w:kern w:val="0"/>
          <w:sz w:val="28"/>
          <w:szCs w:val="28"/>
        </w:rPr>
        <w:t>2030</w:t>
      </w:r>
      <w:r>
        <w:rPr>
          <w:rFonts w:ascii="仿宋" w:eastAsia="仿宋" w:hAnsi="仿宋" w:cs="仿宋" w:hint="eastAsia"/>
          <w:color w:val="262626"/>
          <w:kern w:val="0"/>
          <w:sz w:val="28"/>
          <w:szCs w:val="28"/>
        </w:rPr>
        <w:t>可持续发展目标</w:t>
      </w:r>
      <w:r w:rsidR="00882106">
        <w:rPr>
          <w:rFonts w:ascii="仿宋" w:eastAsia="仿宋" w:hAnsi="仿宋" w:cs="仿宋" w:hint="eastAsia"/>
          <w:color w:val="262626"/>
          <w:kern w:val="0"/>
          <w:sz w:val="28"/>
          <w:szCs w:val="28"/>
        </w:rPr>
        <w:t>》</w:t>
      </w:r>
      <w:r w:rsidR="00CC0E8C">
        <w:rPr>
          <w:rFonts w:ascii="仿宋" w:eastAsia="仿宋" w:hAnsi="仿宋" w:cs="仿宋" w:hint="eastAsia"/>
          <w:color w:val="262626"/>
          <w:kern w:val="0"/>
          <w:sz w:val="28"/>
          <w:szCs w:val="28"/>
        </w:rPr>
        <w:t>、</w:t>
      </w:r>
      <w:r>
        <w:rPr>
          <w:rFonts w:ascii="仿宋" w:eastAsia="仿宋" w:hAnsi="仿宋" w:cs="仿宋" w:hint="eastAsia"/>
          <w:color w:val="262626"/>
          <w:kern w:val="0"/>
          <w:sz w:val="28"/>
          <w:szCs w:val="28"/>
        </w:rPr>
        <w:t>《巴黎协议》</w:t>
      </w:r>
      <w:r w:rsidR="00882106">
        <w:rPr>
          <w:rFonts w:ascii="仿宋" w:eastAsia="仿宋" w:hAnsi="仿宋" w:cs="仿宋" w:hint="eastAsia"/>
          <w:color w:val="262626"/>
          <w:kern w:val="0"/>
          <w:sz w:val="28"/>
          <w:szCs w:val="28"/>
        </w:rPr>
        <w:t>和</w:t>
      </w:r>
      <w:r>
        <w:rPr>
          <w:rFonts w:ascii="仿宋" w:eastAsia="仿宋" w:hAnsi="仿宋" w:cs="仿宋" w:hint="eastAsia"/>
          <w:color w:val="262626"/>
          <w:kern w:val="0"/>
          <w:sz w:val="28"/>
          <w:szCs w:val="28"/>
        </w:rPr>
        <w:t>七部委《关于构建绿色金融体系的指导意见》，中国金融学会绿色金融专业委员会、中国投资协会、中国银行业协会、中国证券投资基金业协会、中国保险资产管理业协会、中国信托业协会、环境保护部环境保护对外合作中心共同向参与对外投资的中国金融机构和非金融企业发起如下</w:t>
      </w:r>
      <w:r>
        <w:rPr>
          <w:rFonts w:ascii="仿宋" w:eastAsia="仿宋" w:hAnsi="仿宋" w:cs="仿宋" w:hint="eastAsia"/>
          <w:sz w:val="28"/>
          <w:szCs w:val="28"/>
        </w:rPr>
        <w:t>倡议</w:t>
      </w:r>
      <w:r>
        <w:rPr>
          <w:rFonts w:ascii="仿宋" w:eastAsia="仿宋" w:hAnsi="仿宋" w:cs="仿宋" w:hint="eastAsia"/>
          <w:color w:val="262626"/>
          <w:kern w:val="0"/>
          <w:sz w:val="28"/>
          <w:szCs w:val="28"/>
        </w:rPr>
        <w:t>。</w:t>
      </w:r>
    </w:p>
    <w:p w14:paraId="14C34987" w14:textId="77777777" w:rsidR="00B05188" w:rsidRDefault="00D554D3">
      <w:pPr>
        <w:numPr>
          <w:ilvl w:val="0"/>
          <w:numId w:val="1"/>
        </w:numPr>
        <w:ind w:firstLine="420"/>
        <w:rPr>
          <w:rFonts w:ascii="仿宋" w:eastAsia="仿宋" w:hAnsi="仿宋" w:cstheme="minorBidi"/>
          <w:sz w:val="28"/>
          <w:szCs w:val="28"/>
        </w:rPr>
      </w:pPr>
      <w:bookmarkStart w:id="1" w:name="OLE_LINK1"/>
      <w:bookmarkStart w:id="2" w:name="OLE_LINK2"/>
      <w:r>
        <w:rPr>
          <w:rFonts w:ascii="仿宋" w:eastAsia="仿宋" w:hAnsi="仿宋" w:cs="仿宋" w:hint="eastAsia"/>
          <w:b/>
          <w:bCs/>
          <w:sz w:val="28"/>
          <w:szCs w:val="28"/>
        </w:rPr>
        <w:t>参与对外投资的金融机构和企业</w:t>
      </w:r>
      <w:bookmarkEnd w:id="1"/>
      <w:r>
        <w:rPr>
          <w:rFonts w:ascii="仿宋" w:eastAsia="仿宋" w:hAnsi="仿宋" w:cs="仿宋" w:hint="eastAsia"/>
          <w:b/>
          <w:bCs/>
          <w:sz w:val="28"/>
          <w:szCs w:val="28"/>
        </w:rPr>
        <w:t>应充分了解项目所在地的环境法规、标准和相关的环境风险</w:t>
      </w:r>
      <w:r>
        <w:rPr>
          <w:rFonts w:ascii="仿宋" w:eastAsia="仿宋" w:hAnsi="仿宋" w:cs="仿宋" w:hint="eastAsia"/>
          <w:sz w:val="28"/>
          <w:szCs w:val="28"/>
        </w:rPr>
        <w:t>。鼓励</w:t>
      </w:r>
      <w:r>
        <w:rPr>
          <w:rFonts w:ascii="仿宋" w:eastAsia="仿宋" w:hAnsi="仿宋" w:cs="仿宋" w:hint="eastAsia"/>
          <w:color w:val="262626"/>
          <w:kern w:val="0"/>
          <w:sz w:val="28"/>
          <w:szCs w:val="28"/>
        </w:rPr>
        <w:t>对外投资的金融机构和企业研究和分析与环境相关的标准和准则、项目所在国的环境相关法律、规定、政策、标准，以识别、评估、控制和管理其业务在项目所在国所面临的环境风险，并督促与其有业务关系的机构提升环境绩效。</w:t>
      </w:r>
    </w:p>
    <w:bookmarkEnd w:id="2"/>
    <w:p w14:paraId="22E86FA0" w14:textId="4A07113B" w:rsidR="00B05188" w:rsidRDefault="00D554D3">
      <w:pPr>
        <w:numPr>
          <w:ilvl w:val="0"/>
          <w:numId w:val="1"/>
        </w:numPr>
        <w:ind w:firstLine="420"/>
        <w:rPr>
          <w:rFonts w:ascii="仿宋" w:eastAsia="仿宋" w:hAnsi="仿宋" w:cstheme="minorBidi"/>
          <w:sz w:val="28"/>
          <w:szCs w:val="28"/>
        </w:rPr>
      </w:pPr>
      <w:r>
        <w:rPr>
          <w:rFonts w:ascii="仿宋" w:eastAsia="仿宋" w:hAnsi="仿宋" w:cs="仿宋" w:hint="eastAsia"/>
          <w:b/>
          <w:bCs/>
          <w:sz w:val="28"/>
          <w:szCs w:val="28"/>
        </w:rPr>
        <w:t>参与对外投资的金融机构和企业应充分了解项目所属行业的环境法规和标准，以及该行业环境风险的主要类别和防范与应对方法。</w:t>
      </w:r>
      <w:r w:rsidRPr="00D2303A">
        <w:rPr>
          <w:rFonts w:ascii="仿宋" w:eastAsia="仿宋" w:hAnsi="仿宋" w:cs="仿宋" w:hint="eastAsia"/>
          <w:bCs/>
          <w:sz w:val="28"/>
          <w:szCs w:val="28"/>
        </w:rPr>
        <w:t>鼓励</w:t>
      </w:r>
      <w:r>
        <w:rPr>
          <w:rFonts w:ascii="仿宋" w:eastAsia="仿宋" w:hAnsi="仿宋" w:cs="仿宋" w:hint="eastAsia"/>
          <w:color w:val="262626"/>
          <w:kern w:val="0"/>
          <w:sz w:val="28"/>
          <w:szCs w:val="28"/>
        </w:rPr>
        <w:t>对外投资的金融机构和企业根据项目的行业特点，充分了解中国、项目所在国以及国际通行的环境标准并尽可能采用其中的最高标准，深入开展项目环境尽职调查；高度重视</w:t>
      </w:r>
      <w:r>
        <w:rPr>
          <w:rFonts w:ascii="仿宋" w:eastAsia="仿宋" w:hAnsi="仿宋" w:cs="仿宋" w:hint="eastAsia"/>
          <w:color w:val="262626"/>
          <w:kern w:val="0"/>
          <w:sz w:val="28"/>
          <w:szCs w:val="28"/>
        </w:rPr>
        <w:lastRenderedPageBreak/>
        <w:t>采矿、火电、基建、钢铁、水泥、建材、化工、纺织印染等项目可能带来的环境影响；利用环境风险分析工具，充分识别和评估所投资项目对大气、水、土壤和森林等环境要素的潜在影响，有效管理这些风险</w:t>
      </w:r>
      <w:r>
        <w:rPr>
          <w:rFonts w:ascii="仿宋" w:eastAsia="仿宋" w:hAnsi="仿宋" w:cs="仿宋" w:hint="eastAsia"/>
          <w:i/>
          <w:iCs/>
          <w:sz w:val="28"/>
          <w:szCs w:val="28"/>
        </w:rPr>
        <w:t>。</w:t>
      </w:r>
    </w:p>
    <w:p w14:paraId="4A0F0DB7" w14:textId="77777777" w:rsidR="00B05188" w:rsidRDefault="00D554D3">
      <w:pPr>
        <w:numPr>
          <w:ilvl w:val="0"/>
          <w:numId w:val="1"/>
        </w:numPr>
        <w:ind w:firstLine="420"/>
        <w:rPr>
          <w:rFonts w:ascii="仿宋" w:eastAsia="仿宋" w:hAnsi="仿宋" w:cstheme="minorBidi"/>
          <w:color w:val="191919"/>
          <w:sz w:val="28"/>
          <w:szCs w:val="28"/>
        </w:rPr>
      </w:pPr>
      <w:r>
        <w:rPr>
          <w:rFonts w:ascii="仿宋" w:eastAsia="仿宋" w:hAnsi="仿宋" w:cs="仿宋" w:hint="eastAsia"/>
          <w:b/>
          <w:bCs/>
          <w:color w:val="191919"/>
          <w:sz w:val="28"/>
          <w:szCs w:val="28"/>
        </w:rPr>
        <w:t>参与对外投资的银行应借鉴国际可持续原则，参与对外投资的机构投资者应借鉴联合国责任投资原则，在投资决策和项目实施过程中充分考虑</w:t>
      </w:r>
      <w:r w:rsidR="00A519F4">
        <w:rPr>
          <w:rFonts w:ascii="仿宋" w:eastAsia="仿宋" w:hAnsi="仿宋" w:cs="仿宋" w:hint="eastAsia"/>
          <w:b/>
          <w:bCs/>
          <w:color w:val="191919"/>
          <w:sz w:val="28"/>
          <w:szCs w:val="28"/>
        </w:rPr>
        <w:t>环境、社会、治理</w:t>
      </w:r>
      <w:r>
        <w:rPr>
          <w:rFonts w:ascii="仿宋" w:eastAsia="仿宋" w:hAnsi="仿宋" w:cs="仿宋" w:hint="eastAsia"/>
          <w:b/>
          <w:bCs/>
          <w:color w:val="191919"/>
          <w:sz w:val="28"/>
          <w:szCs w:val="28"/>
        </w:rPr>
        <w:t>（</w:t>
      </w:r>
      <w:r w:rsidR="00A519F4">
        <w:rPr>
          <w:rFonts w:ascii="仿宋" w:eastAsia="仿宋" w:hAnsi="仿宋" w:cs="仿宋"/>
          <w:b/>
          <w:bCs/>
          <w:color w:val="191919"/>
          <w:sz w:val="28"/>
          <w:szCs w:val="28"/>
        </w:rPr>
        <w:t>ESG</w:t>
      </w:r>
      <w:r>
        <w:rPr>
          <w:rFonts w:ascii="仿宋" w:eastAsia="仿宋" w:hAnsi="仿宋" w:cs="仿宋" w:hint="eastAsia"/>
          <w:b/>
          <w:bCs/>
          <w:color w:val="191919"/>
          <w:sz w:val="28"/>
          <w:szCs w:val="28"/>
        </w:rPr>
        <w:t>）因素，建立健全管理环境风险的内部流程和机制</w:t>
      </w:r>
      <w:r>
        <w:rPr>
          <w:rFonts w:ascii="仿宋" w:eastAsia="仿宋" w:hAnsi="仿宋" w:cs="仿宋" w:hint="eastAsia"/>
          <w:color w:val="191919"/>
          <w:sz w:val="28"/>
          <w:szCs w:val="28"/>
        </w:rPr>
        <w:t>。对外投资金融机构应按照环境风险高低进行分类管理，开展环境影响尽职调查，作为信贷和投资决策的重要依据；基于环境尽职调查发现的主要风险点，与被投资企业共同改进方案；在贷后和投资后持续跟踪改进方案的落实情况，以及客户环境社会绩效。</w:t>
      </w:r>
    </w:p>
    <w:p w14:paraId="3E8DEEFC" w14:textId="63649F23" w:rsidR="00B05188" w:rsidRDefault="00D554D3">
      <w:pPr>
        <w:numPr>
          <w:ilvl w:val="0"/>
          <w:numId w:val="1"/>
        </w:numPr>
        <w:ind w:firstLine="420"/>
        <w:rPr>
          <w:rFonts w:ascii="仿宋" w:eastAsia="仿宋" w:hAnsi="仿宋" w:cstheme="minorBidi"/>
          <w:color w:val="191919"/>
          <w:sz w:val="28"/>
          <w:szCs w:val="28"/>
        </w:rPr>
      </w:pPr>
      <w:r>
        <w:rPr>
          <w:rFonts w:ascii="仿宋" w:eastAsia="仿宋" w:hAnsi="仿宋" w:cs="仿宋" w:hint="eastAsia"/>
          <w:b/>
          <w:bCs/>
          <w:sz w:val="28"/>
          <w:szCs w:val="28"/>
        </w:rPr>
        <w:t>鼓励参与对外投资的金融机构和企业强化</w:t>
      </w:r>
      <w:r w:rsidR="00A519F4">
        <w:rPr>
          <w:rFonts w:ascii="仿宋" w:eastAsia="仿宋" w:hAnsi="仿宋" w:cs="仿宋"/>
          <w:b/>
          <w:bCs/>
          <w:sz w:val="28"/>
          <w:szCs w:val="28"/>
        </w:rPr>
        <w:t>ESG</w:t>
      </w:r>
      <w:r>
        <w:rPr>
          <w:rFonts w:ascii="仿宋" w:eastAsia="仿宋" w:hAnsi="仿宋" w:cs="仿宋" w:hint="eastAsia"/>
          <w:b/>
          <w:bCs/>
          <w:sz w:val="28"/>
          <w:szCs w:val="28"/>
        </w:rPr>
        <w:t>信息披露，主动与环保组织合作，利用信息披露要求改善项目评估和内部管理流程</w:t>
      </w:r>
      <w:r>
        <w:rPr>
          <w:rFonts w:ascii="仿宋" w:eastAsia="仿宋" w:hAnsi="仿宋" w:cs="仿宋" w:hint="eastAsia"/>
          <w:sz w:val="28"/>
          <w:szCs w:val="28"/>
        </w:rPr>
        <w:t>。在符合相关法律和规定的前提下，鼓励</w:t>
      </w:r>
      <w:r>
        <w:rPr>
          <w:rFonts w:ascii="仿宋" w:eastAsia="仿宋" w:hAnsi="仿宋" w:cs="仿宋" w:hint="eastAsia"/>
          <w:color w:val="191919"/>
          <w:sz w:val="28"/>
          <w:szCs w:val="28"/>
        </w:rPr>
        <w:t>参与对外投资的金融机构在开展投资之前对拟投资的项目概况、融资规模、及环境影响摘要进行披露；鼓励企业在项目建设前将项目环境影响评价报告用当地语言或英语进行公示；鼓励参与投资的金融机构和企业参照国际报告倡议组织（</w:t>
      </w:r>
      <w:r>
        <w:rPr>
          <w:rFonts w:ascii="仿宋" w:eastAsia="仿宋" w:hAnsi="仿宋" w:cs="仿宋"/>
          <w:color w:val="191919"/>
          <w:sz w:val="28"/>
          <w:szCs w:val="28"/>
        </w:rPr>
        <w:t>GRI</w:t>
      </w:r>
      <w:r>
        <w:rPr>
          <w:rFonts w:ascii="仿宋" w:eastAsia="仿宋" w:hAnsi="仿宋" w:cs="仿宋" w:hint="eastAsia"/>
          <w:color w:val="191919"/>
          <w:sz w:val="28"/>
          <w:szCs w:val="28"/>
        </w:rPr>
        <w:t>）的标准进行</w:t>
      </w:r>
      <w:r w:rsidR="00A519F4">
        <w:rPr>
          <w:rFonts w:ascii="仿宋" w:eastAsia="仿宋" w:hAnsi="仿宋" w:cs="仿宋"/>
          <w:color w:val="191919"/>
          <w:sz w:val="28"/>
          <w:szCs w:val="28"/>
        </w:rPr>
        <w:t>ESG</w:t>
      </w:r>
      <w:r>
        <w:rPr>
          <w:rFonts w:ascii="仿宋" w:eastAsia="仿宋" w:hAnsi="仿宋" w:cs="仿宋" w:hint="eastAsia"/>
          <w:color w:val="191919"/>
          <w:sz w:val="28"/>
          <w:szCs w:val="28"/>
        </w:rPr>
        <w:t xml:space="preserve">年度信息披露；投资主体应该明确负责环境信息披露的部门和人员。对存在潜在重大环境和社会风险的项目，应主动向投资者、股东以及监管机构披露关键信息；加强与利益相关方的沟通。 </w:t>
      </w:r>
    </w:p>
    <w:p w14:paraId="66161AA7" w14:textId="77777777" w:rsidR="0013198E" w:rsidRDefault="00D554D3" w:rsidP="0013198E">
      <w:pPr>
        <w:numPr>
          <w:ilvl w:val="0"/>
          <w:numId w:val="1"/>
        </w:numPr>
        <w:ind w:firstLine="420"/>
        <w:rPr>
          <w:rFonts w:ascii="仿宋" w:eastAsia="仿宋" w:hAnsi="仿宋" w:cstheme="minorBidi"/>
          <w:sz w:val="28"/>
          <w:szCs w:val="28"/>
        </w:rPr>
      </w:pPr>
      <w:r>
        <w:rPr>
          <w:rFonts w:ascii="仿宋" w:eastAsia="仿宋" w:hAnsi="仿宋" w:cs="仿宋" w:hint="eastAsia"/>
          <w:b/>
          <w:bCs/>
          <w:sz w:val="28"/>
          <w:szCs w:val="28"/>
        </w:rPr>
        <w:lastRenderedPageBreak/>
        <w:t>参与对外投资的金融机构要充分利用机构总部的资源、国际资本市场和第三方机构的支持，强化对境外分支机构开展环境风险管理的内部流程和能力建设</w:t>
      </w:r>
      <w:r>
        <w:rPr>
          <w:rFonts w:ascii="仿宋" w:eastAsia="仿宋" w:hAnsi="仿宋" w:cs="仿宋" w:hint="eastAsia"/>
          <w:sz w:val="28"/>
          <w:szCs w:val="28"/>
        </w:rPr>
        <w:t>。总部应该对全机构的环境风险管理进行一体化管理，明确境内外分支机构的责任。总部应指导境外分支机构完善信贷活动及其他业务的操作指引，加强对环境风险的评估，设置具体的行业细分和融资条款，完善授信企业环境责任认定方法和环境风险等级划分；总部应建立培训机制，通过定期讲座、授课等方式加强境外机构绿色信贷和绿色投资能力建设。</w:t>
      </w:r>
      <w:bookmarkStart w:id="3" w:name="OLE_LINK4"/>
    </w:p>
    <w:p w14:paraId="79096217" w14:textId="77777777" w:rsidR="00B05188" w:rsidRPr="0013198E" w:rsidRDefault="00D554D3" w:rsidP="0013198E">
      <w:pPr>
        <w:numPr>
          <w:ilvl w:val="0"/>
          <w:numId w:val="1"/>
        </w:numPr>
        <w:ind w:firstLine="420"/>
        <w:rPr>
          <w:rFonts w:ascii="仿宋" w:eastAsia="仿宋" w:hAnsi="仿宋" w:cstheme="minorBidi"/>
          <w:sz w:val="28"/>
          <w:szCs w:val="28"/>
        </w:rPr>
      </w:pPr>
      <w:r w:rsidRPr="0013198E">
        <w:rPr>
          <w:rFonts w:ascii="仿宋" w:eastAsia="仿宋" w:hAnsi="仿宋" w:cs="仿宋" w:hint="eastAsia"/>
          <w:b/>
          <w:bCs/>
          <w:sz w:val="28"/>
          <w:szCs w:val="28"/>
        </w:rPr>
        <w:t>鼓励加强在对外投资项目决策过程中逐步完善对项目环境效益与成本的定量评估</w:t>
      </w:r>
      <w:r w:rsidRPr="0013198E">
        <w:rPr>
          <w:rFonts w:ascii="仿宋" w:eastAsia="仿宋" w:hAnsi="仿宋" w:cs="仿宋" w:hint="eastAsia"/>
          <w:sz w:val="28"/>
          <w:szCs w:val="28"/>
        </w:rPr>
        <w:t>。鼓励金融机构和企业定量测算对外投资项目的环境效益，包括项目的各类污染排放量和能耗、水耗等指标</w:t>
      </w:r>
      <w:r w:rsidRPr="0013198E">
        <w:rPr>
          <w:rFonts w:ascii="仿宋" w:eastAsia="仿宋" w:hAnsi="仿宋" w:cs="仿宋"/>
          <w:sz w:val="28"/>
          <w:szCs w:val="28"/>
        </w:rPr>
        <w:t>,</w:t>
      </w:r>
      <w:r w:rsidRPr="0013198E">
        <w:rPr>
          <w:rFonts w:ascii="仿宋" w:eastAsia="仿宋" w:hAnsi="仿宋" w:cs="仿宋" w:hint="eastAsia"/>
          <w:sz w:val="28"/>
          <w:szCs w:val="28"/>
        </w:rPr>
        <w:t>为决策提供科学依据</w:t>
      </w:r>
      <w:r w:rsidRPr="0013198E">
        <w:rPr>
          <w:rFonts w:ascii="仿宋" w:eastAsia="仿宋" w:hAnsi="仿宋" w:cs="仿宋"/>
          <w:sz w:val="28"/>
          <w:szCs w:val="28"/>
        </w:rPr>
        <w:t>;</w:t>
      </w:r>
      <w:r w:rsidRPr="0013198E">
        <w:rPr>
          <w:rFonts w:ascii="仿宋" w:eastAsia="仿宋" w:hAnsi="仿宋" w:cs="仿宋" w:hint="eastAsia"/>
          <w:sz w:val="28"/>
          <w:szCs w:val="28"/>
        </w:rPr>
        <w:t>针对不同类型项目环境效益和成本的体现特征，采用有针对性的评价指标和评价方法；环境效益、成本的测算基准和标准的选择要考虑项目所在国技术水平以及环境基础条件等因素，以保证环境效益成本定量评估的适用性，同时尽可能参照国际先进标准。</w:t>
      </w:r>
    </w:p>
    <w:p w14:paraId="7804FBFF" w14:textId="27F23C00" w:rsidR="00B05188" w:rsidRDefault="00D554D3">
      <w:pPr>
        <w:numPr>
          <w:ilvl w:val="0"/>
          <w:numId w:val="1"/>
        </w:numPr>
        <w:ind w:firstLine="420"/>
        <w:rPr>
          <w:rFonts w:ascii="仿宋" w:eastAsia="仿宋" w:hAnsi="仿宋" w:cstheme="minorBidi"/>
          <w:sz w:val="28"/>
          <w:szCs w:val="28"/>
        </w:rPr>
      </w:pPr>
      <w:bookmarkStart w:id="4" w:name="OLE_LINK7"/>
      <w:bookmarkEnd w:id="3"/>
      <w:r>
        <w:rPr>
          <w:rFonts w:ascii="仿宋" w:eastAsia="仿宋" w:hAnsi="仿宋" w:cs="仿宋" w:hint="eastAsia"/>
          <w:b/>
          <w:bCs/>
          <w:sz w:val="28"/>
          <w:szCs w:val="28"/>
        </w:rPr>
        <w:t>鼓励参与对外投资重大项目的机构在决策和实施过程中，充分利用第三方专业力量，帮助评估和管理环境所面临的环境和社会风险。</w:t>
      </w:r>
      <w:bookmarkEnd w:id="4"/>
      <w:r>
        <w:rPr>
          <w:rFonts w:ascii="仿宋" w:eastAsia="仿宋" w:hAnsi="仿宋" w:cs="仿宋" w:hint="eastAsia"/>
          <w:sz w:val="28"/>
          <w:szCs w:val="28"/>
        </w:rPr>
        <w:t>鼓励中国金融机构和企业在对外投资活动中，充分利用律师、环保咨询、</w:t>
      </w:r>
      <w:r>
        <w:rPr>
          <w:rFonts w:ascii="仿宋" w:eastAsia="仿宋" w:hAnsi="仿宋" w:cs="仿宋"/>
          <w:sz w:val="28"/>
          <w:szCs w:val="28"/>
        </w:rPr>
        <w:t>NGO</w:t>
      </w:r>
      <w:r>
        <w:rPr>
          <w:rFonts w:ascii="仿宋" w:eastAsia="仿宋" w:hAnsi="仿宋" w:cs="仿宋" w:hint="eastAsia"/>
          <w:sz w:val="28"/>
          <w:szCs w:val="28"/>
        </w:rPr>
        <w:t>、智库及其它第三方专业机构了解东道国当地环保法律法规要求，按照东道国法律规定和良好行业实</w:t>
      </w:r>
      <w:r>
        <w:rPr>
          <w:rFonts w:ascii="仿宋" w:eastAsia="仿宋" w:hAnsi="仿宋" w:cs="仿宋" w:hint="eastAsia"/>
          <w:sz w:val="28"/>
          <w:szCs w:val="28"/>
        </w:rPr>
        <w:lastRenderedPageBreak/>
        <w:t>践进行环境影响评估工作，识别和管理项目、地区及国际层面的环境风险，协助搭建与利益相关方的对话平台。鼓励中国企业通过包括但不限于调解等多元化争端解决方式妥善解决与环保有关的纠纷。</w:t>
      </w:r>
    </w:p>
    <w:p w14:paraId="72445859" w14:textId="77777777" w:rsidR="00B05188" w:rsidRDefault="00D554D3">
      <w:pPr>
        <w:numPr>
          <w:ilvl w:val="0"/>
          <w:numId w:val="1"/>
        </w:numPr>
        <w:ind w:firstLine="420"/>
        <w:rPr>
          <w:rFonts w:ascii="仿宋" w:eastAsia="仿宋" w:hAnsi="仿宋" w:cstheme="minorBidi"/>
          <w:sz w:val="28"/>
          <w:szCs w:val="28"/>
        </w:rPr>
      </w:pPr>
      <w:r>
        <w:rPr>
          <w:rFonts w:ascii="仿宋" w:eastAsia="仿宋" w:hAnsi="仿宋" w:cs="仿宋" w:hint="eastAsia"/>
          <w:b/>
          <w:bCs/>
          <w:sz w:val="28"/>
          <w:szCs w:val="28"/>
        </w:rPr>
        <w:t>鼓励对外投资项目，尤其是中长期基础设施项目，充分利用绿色融资工具。</w:t>
      </w:r>
      <w:r>
        <w:rPr>
          <w:rFonts w:ascii="仿宋" w:eastAsia="仿宋" w:hAnsi="仿宋" w:cs="仿宋" w:hint="eastAsia"/>
          <w:sz w:val="28"/>
          <w:szCs w:val="28"/>
        </w:rPr>
        <w:t>对外投资机构应积极采用绿色债券、绿色资产</w:t>
      </w:r>
      <w:r>
        <w:rPr>
          <w:rFonts w:ascii="仿宋" w:eastAsia="仿宋" w:hAnsi="仿宋" w:cs="仿宋"/>
          <w:sz w:val="28"/>
          <w:szCs w:val="28"/>
        </w:rPr>
        <w:t>ABS</w:t>
      </w:r>
      <w:r>
        <w:rPr>
          <w:rFonts w:ascii="仿宋" w:eastAsia="仿宋" w:hAnsi="仿宋" w:cs="仿宋" w:hint="eastAsia"/>
          <w:sz w:val="28"/>
          <w:szCs w:val="28"/>
        </w:rPr>
        <w:t>、</w:t>
      </w:r>
      <w:proofErr w:type="spellStart"/>
      <w:r>
        <w:rPr>
          <w:rFonts w:ascii="仿宋" w:eastAsia="仿宋" w:hAnsi="仿宋" w:cs="仿宋"/>
          <w:sz w:val="28"/>
          <w:szCs w:val="28"/>
        </w:rPr>
        <w:t>YieldCo</w:t>
      </w:r>
      <w:proofErr w:type="spellEnd"/>
      <w:r>
        <w:rPr>
          <w:rFonts w:ascii="仿宋" w:eastAsia="仿宋" w:hAnsi="仿宋" w:cs="仿宋" w:hint="eastAsia"/>
          <w:sz w:val="28"/>
          <w:szCs w:val="28"/>
        </w:rPr>
        <w:t>、碳收益抵押融资等绿色融资工具以及绿色产业基金为项目筹集资金，支持绿色金融市场和绿色金融产品的发展，强化绿色融资工具所要求的环境信息披露和内部流程，发挥第三方机构（如绿色评级、绿色指数、绿色认证机构等）在绿色融资过程中对强化项目环境风险管理的倒逼机制</w:t>
      </w:r>
      <w:r>
        <w:rPr>
          <w:rFonts w:ascii="仿宋" w:eastAsia="仿宋" w:hAnsi="仿宋" w:cs="仿宋" w:hint="eastAsia"/>
          <w:b/>
          <w:bCs/>
          <w:sz w:val="28"/>
          <w:szCs w:val="28"/>
        </w:rPr>
        <w:t>。</w:t>
      </w:r>
    </w:p>
    <w:p w14:paraId="42FE5222" w14:textId="77777777" w:rsidR="00B05188" w:rsidRDefault="00D554D3">
      <w:pPr>
        <w:numPr>
          <w:ilvl w:val="0"/>
          <w:numId w:val="1"/>
        </w:numPr>
        <w:ind w:firstLine="420"/>
        <w:rPr>
          <w:rFonts w:ascii="仿宋" w:eastAsia="仿宋" w:hAnsi="仿宋" w:cstheme="minorBidi"/>
          <w:b/>
          <w:bCs/>
          <w:sz w:val="28"/>
          <w:szCs w:val="28"/>
        </w:rPr>
      </w:pPr>
      <w:r>
        <w:rPr>
          <w:rFonts w:ascii="仿宋" w:eastAsia="仿宋" w:hAnsi="仿宋" w:cs="仿宋" w:hint="eastAsia"/>
          <w:b/>
          <w:bCs/>
          <w:sz w:val="28"/>
          <w:szCs w:val="28"/>
        </w:rPr>
        <w:t>鼓励在环境高风险领域的对外投资企业积极使用环境责任保险作为环境风险管理的工具，充分发挥保险公司在监督企业降低环境风险、减少环境事故方面的作用。</w:t>
      </w:r>
      <w:r>
        <w:rPr>
          <w:rFonts w:ascii="仿宋" w:eastAsia="仿宋" w:hAnsi="仿宋" w:cs="仿宋" w:hint="eastAsia"/>
          <w:sz w:val="28"/>
          <w:szCs w:val="28"/>
        </w:rPr>
        <w:t>对外投资企业应遵循项目所在国关于在环境高风险领域（如采矿、石油、化工、危险品运输等）对环境污染责任保险的投保要求，积极使用国际保险机构提供的环境责任险来管理环境事故可能导致的法律和财务风险。我国保险机构应该配合“一带一路”倡议，加快服务走出去的步伐，开发适于对外投资项目的环境责任保险产品，并在监督和激励对外投资企业降低环境风险方面发挥积极作用。</w:t>
      </w:r>
    </w:p>
    <w:p w14:paraId="31A1A94F" w14:textId="77777777" w:rsidR="00B05188" w:rsidRDefault="00D554D3">
      <w:pPr>
        <w:numPr>
          <w:ilvl w:val="0"/>
          <w:numId w:val="1"/>
        </w:numPr>
        <w:ind w:firstLine="420"/>
        <w:rPr>
          <w:rFonts w:ascii="仿宋" w:eastAsia="仿宋" w:hAnsi="仿宋" w:cstheme="minorBidi"/>
          <w:b/>
          <w:bCs/>
          <w:sz w:val="28"/>
          <w:szCs w:val="28"/>
        </w:rPr>
      </w:pPr>
      <w:bookmarkStart w:id="5" w:name="OLE_LINK3"/>
      <w:r>
        <w:rPr>
          <w:rFonts w:ascii="仿宋" w:eastAsia="仿宋" w:hAnsi="仿宋" w:cs="仿宋" w:hint="eastAsia"/>
          <w:b/>
          <w:bCs/>
          <w:sz w:val="28"/>
          <w:szCs w:val="28"/>
        </w:rPr>
        <w:t>在基础设施等大型对外投资项目的设计、项目招标、原材料和设备采购的过程中，应该采用绿色供应链管理方法，推动</w:t>
      </w:r>
      <w:r>
        <w:rPr>
          <w:rFonts w:ascii="仿宋" w:eastAsia="仿宋" w:hAnsi="仿宋" w:cs="仿宋" w:hint="eastAsia"/>
          <w:b/>
          <w:bCs/>
          <w:sz w:val="28"/>
          <w:szCs w:val="28"/>
        </w:rPr>
        <w:lastRenderedPageBreak/>
        <w:t>原材料和设备及服务提供商进行绿色化运营。</w:t>
      </w:r>
      <w:bookmarkEnd w:id="5"/>
      <w:r w:rsidR="009705F5" w:rsidRPr="00D2303A">
        <w:rPr>
          <w:rFonts w:ascii="仿宋" w:eastAsia="仿宋" w:hAnsi="仿宋" w:cs="仿宋" w:hint="eastAsia"/>
          <w:bCs/>
          <w:sz w:val="28"/>
          <w:szCs w:val="28"/>
        </w:rPr>
        <w:t>鼓励对外投资</w:t>
      </w:r>
      <w:r w:rsidR="009705F5">
        <w:rPr>
          <w:rFonts w:ascii="仿宋" w:eastAsia="仿宋" w:hAnsi="仿宋" w:cs="仿宋" w:hint="eastAsia"/>
          <w:bCs/>
          <w:sz w:val="28"/>
          <w:szCs w:val="28"/>
        </w:rPr>
        <w:t>机构</w:t>
      </w:r>
      <w:r>
        <w:rPr>
          <w:rFonts w:ascii="仿宋" w:eastAsia="仿宋" w:hAnsi="仿宋" w:cs="仿宋" w:hint="eastAsia"/>
          <w:sz w:val="28"/>
          <w:szCs w:val="28"/>
        </w:rPr>
        <w:t>在基础设施等大型对外投资项目的可行性研究、立项、设计、建设和运营等环节，落实绿色供应链管理要求。践行绿色采购原则，探索项目管理单位、工程建设总承包、运营维护单位等主体以及原材料和设备绿色招投标，实施投资项目行政办公相关绿色采购。开展绿色供应链自愿行动，合作开发绿色供应链材料设备推荐目录，发布绿色供应链绩效评价指数，提升绿色供应链信息化水平，促进绿色供应链信息公开和互联互通。</w:t>
      </w:r>
      <w:r>
        <w:rPr>
          <w:rFonts w:ascii="仿宋" w:eastAsia="仿宋" w:hAnsi="仿宋" w:cs="仿宋"/>
          <w:sz w:val="28"/>
          <w:szCs w:val="28"/>
        </w:rPr>
        <w:t xml:space="preserve"> </w:t>
      </w:r>
    </w:p>
    <w:p w14:paraId="21E91611" w14:textId="77777777" w:rsidR="009A6AB5" w:rsidRDefault="00D554D3" w:rsidP="009A6AB5">
      <w:pPr>
        <w:numPr>
          <w:ilvl w:val="0"/>
          <w:numId w:val="1"/>
        </w:numPr>
        <w:ind w:firstLine="420"/>
        <w:rPr>
          <w:rFonts w:ascii="仿宋" w:eastAsia="仿宋" w:hAnsi="仿宋" w:cstheme="minorBidi"/>
          <w:b/>
          <w:bCs/>
          <w:sz w:val="28"/>
          <w:szCs w:val="28"/>
        </w:rPr>
      </w:pPr>
      <w:r>
        <w:rPr>
          <w:rFonts w:ascii="仿宋" w:eastAsia="仿宋" w:hAnsi="仿宋" w:cs="仿宋" w:hint="eastAsia"/>
          <w:b/>
          <w:bCs/>
          <w:sz w:val="28"/>
          <w:szCs w:val="28"/>
        </w:rPr>
        <w:t>金融机构应推动贸易融资和供应链融资绿色化，降低绿色供应商的融资成本</w:t>
      </w:r>
      <w:r>
        <w:rPr>
          <w:rFonts w:ascii="仿宋" w:eastAsia="仿宋" w:hAnsi="仿宋" w:cs="仿宋"/>
          <w:b/>
          <w:bCs/>
          <w:sz w:val="28"/>
          <w:szCs w:val="28"/>
        </w:rPr>
        <w:t>,</w:t>
      </w:r>
      <w:r>
        <w:rPr>
          <w:rFonts w:ascii="仿宋" w:eastAsia="仿宋" w:hAnsi="仿宋" w:cs="仿宋" w:hint="eastAsia"/>
          <w:b/>
          <w:bCs/>
          <w:sz w:val="28"/>
          <w:szCs w:val="28"/>
        </w:rPr>
        <w:t>提高融资可获得性。</w:t>
      </w:r>
      <w:r>
        <w:rPr>
          <w:rFonts w:ascii="仿宋" w:eastAsia="仿宋" w:hAnsi="仿宋" w:cs="仿宋" w:hint="eastAsia"/>
          <w:sz w:val="28"/>
          <w:szCs w:val="28"/>
        </w:rPr>
        <w:t>金融机构应根据绿色供应链相关内容，对融资企业进行风险控制管理，积极支持绿色供应商；金融机构应通过自身优势，引导客户加强对供应链、关联方的环境与社会风险管理，促进企业绿色转型升级；金融机构应积极创新绿色供应链相关的金融产品及业务，推动绿色生产、绿色采购与绿色消费发展。</w:t>
      </w:r>
    </w:p>
    <w:p w14:paraId="06003FE7" w14:textId="77777777" w:rsidR="00B05188" w:rsidRPr="009A6AB5" w:rsidRDefault="00D554D3" w:rsidP="009A6AB5">
      <w:pPr>
        <w:numPr>
          <w:ilvl w:val="0"/>
          <w:numId w:val="1"/>
        </w:numPr>
        <w:ind w:firstLine="420"/>
        <w:rPr>
          <w:rFonts w:ascii="仿宋" w:eastAsia="仿宋" w:hAnsi="仿宋" w:cstheme="minorBidi"/>
          <w:b/>
          <w:bCs/>
          <w:sz w:val="28"/>
          <w:szCs w:val="28"/>
        </w:rPr>
      </w:pPr>
      <w:r w:rsidRPr="009A6AB5">
        <w:rPr>
          <w:rFonts w:ascii="仿宋" w:eastAsia="仿宋" w:hAnsi="仿宋" w:cs="仿宋" w:hint="eastAsia"/>
          <w:b/>
          <w:bCs/>
          <w:sz w:val="28"/>
          <w:szCs w:val="28"/>
        </w:rPr>
        <w:t>中国金融学会绿色金融专业委员会和中国投资协会将联合中国银行业协会、中国证券投资基金业协会、中国保险资产管理</w:t>
      </w:r>
      <w:r w:rsidR="00A519F4" w:rsidRPr="009A6AB5">
        <w:rPr>
          <w:rFonts w:ascii="仿宋" w:eastAsia="仿宋" w:hAnsi="仿宋" w:cs="仿宋" w:hint="eastAsia"/>
          <w:b/>
          <w:bCs/>
          <w:sz w:val="28"/>
          <w:szCs w:val="28"/>
        </w:rPr>
        <w:t>业</w:t>
      </w:r>
      <w:r w:rsidRPr="009A6AB5">
        <w:rPr>
          <w:rFonts w:ascii="仿宋" w:eastAsia="仿宋" w:hAnsi="仿宋" w:cs="仿宋" w:hint="eastAsia"/>
          <w:b/>
          <w:bCs/>
          <w:sz w:val="28"/>
          <w:szCs w:val="28"/>
        </w:rPr>
        <w:t>协会、中国信托业协会、</w:t>
      </w:r>
      <w:r w:rsidR="00A519F4" w:rsidRPr="009A6AB5">
        <w:rPr>
          <w:rFonts w:ascii="仿宋" w:eastAsia="仿宋" w:hAnsi="仿宋" w:cs="仿宋" w:hint="eastAsia"/>
          <w:b/>
          <w:bCs/>
          <w:sz w:val="28"/>
          <w:szCs w:val="28"/>
        </w:rPr>
        <w:t>环境保护部</w:t>
      </w:r>
      <w:r w:rsidR="00D2303A" w:rsidRPr="009A6AB5">
        <w:rPr>
          <w:rFonts w:ascii="仿宋" w:eastAsia="仿宋" w:hAnsi="仿宋" w:cs="仿宋" w:hint="eastAsia"/>
          <w:b/>
          <w:bCs/>
          <w:sz w:val="28"/>
          <w:szCs w:val="28"/>
        </w:rPr>
        <w:t>环境保护</w:t>
      </w:r>
      <w:r w:rsidRPr="009A6AB5">
        <w:rPr>
          <w:rFonts w:ascii="仿宋" w:eastAsia="仿宋" w:hAnsi="仿宋" w:cs="仿宋" w:hint="eastAsia"/>
          <w:b/>
          <w:bCs/>
          <w:sz w:val="28"/>
          <w:szCs w:val="28"/>
        </w:rPr>
        <w:t>对外合作中心等行业协会和机构，为“走出去”的金融机构和企业在环境风险管理领域提供更多的能力建设服务。</w:t>
      </w:r>
      <w:r w:rsidRPr="009A6AB5">
        <w:rPr>
          <w:rFonts w:ascii="仿宋" w:eastAsia="仿宋" w:hAnsi="仿宋" w:cs="仿宋" w:hint="eastAsia"/>
          <w:sz w:val="28"/>
          <w:szCs w:val="28"/>
        </w:rPr>
        <w:t>相关行业协会</w:t>
      </w:r>
      <w:r w:rsidR="00A519F4" w:rsidRPr="009A6AB5">
        <w:rPr>
          <w:rFonts w:ascii="仿宋" w:eastAsia="仿宋" w:hAnsi="仿宋" w:cs="仿宋" w:hint="eastAsia"/>
          <w:sz w:val="28"/>
          <w:szCs w:val="28"/>
        </w:rPr>
        <w:t>和机构</w:t>
      </w:r>
      <w:r w:rsidRPr="009A6AB5">
        <w:rPr>
          <w:rFonts w:ascii="仿宋" w:eastAsia="仿宋" w:hAnsi="仿宋" w:cs="仿宋" w:hint="eastAsia"/>
          <w:sz w:val="28"/>
          <w:szCs w:val="28"/>
        </w:rPr>
        <w:t>所发起的绿色金融服务平台将组织有关绿色投融资的培训活动，编写对外投资绿色化案例和环境风险管理手册，建设“一带一路”</w:t>
      </w:r>
      <w:r w:rsidRPr="009A6AB5">
        <w:rPr>
          <w:rFonts w:ascii="仿宋" w:eastAsia="仿宋" w:hAnsi="仿宋" w:cs="仿宋" w:hint="eastAsia"/>
          <w:sz w:val="28"/>
          <w:szCs w:val="28"/>
        </w:rPr>
        <w:lastRenderedPageBreak/>
        <w:t>环境风险管理网，强化投资者之间的信息共享。</w:t>
      </w:r>
      <w:bookmarkStart w:id="6" w:name="_DV_M120"/>
      <w:bookmarkStart w:id="7" w:name="page1"/>
      <w:bookmarkStart w:id="8" w:name="_DV_M121"/>
      <w:bookmarkStart w:id="9" w:name="_DV_M124"/>
      <w:bookmarkStart w:id="10" w:name="page2"/>
      <w:bookmarkStart w:id="11" w:name="page5"/>
      <w:bookmarkStart w:id="12" w:name="page4"/>
      <w:bookmarkStart w:id="13" w:name="_DV_M119"/>
      <w:bookmarkStart w:id="14" w:name="_DV_M115"/>
      <w:bookmarkStart w:id="15" w:name="_DV_M117"/>
      <w:bookmarkStart w:id="16" w:name="_DV_M108"/>
      <w:bookmarkStart w:id="17" w:name="_DV_M116"/>
      <w:bookmarkStart w:id="18" w:name="_DV_M110"/>
      <w:bookmarkStart w:id="19" w:name="_DV_M112"/>
      <w:bookmarkStart w:id="20" w:name="_DV_M113"/>
      <w:bookmarkStart w:id="21" w:name="_DV_M114"/>
      <w:bookmarkStart w:id="22" w:name="page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9A6AB5">
        <w:rPr>
          <w:rFonts w:ascii="仿宋" w:eastAsia="仿宋" w:hAnsi="仿宋" w:cs="仿宋" w:hint="eastAsia"/>
          <w:sz w:val="28"/>
          <w:szCs w:val="28"/>
        </w:rPr>
        <w:t>相关行业协会</w:t>
      </w:r>
      <w:r w:rsidR="00A519F4" w:rsidRPr="009A6AB5">
        <w:rPr>
          <w:rFonts w:ascii="仿宋" w:eastAsia="仿宋" w:hAnsi="仿宋" w:cs="仿宋" w:hint="eastAsia"/>
          <w:sz w:val="28"/>
          <w:szCs w:val="28"/>
        </w:rPr>
        <w:t>和机构</w:t>
      </w:r>
      <w:r w:rsidR="009A6AB5">
        <w:rPr>
          <w:rFonts w:ascii="仿宋" w:eastAsia="仿宋" w:hAnsi="仿宋" w:cs="仿宋" w:hint="eastAsia"/>
          <w:sz w:val="28"/>
          <w:szCs w:val="28"/>
        </w:rPr>
        <w:t>应</w:t>
      </w:r>
      <w:r w:rsidRPr="009A6AB5">
        <w:rPr>
          <w:rFonts w:ascii="仿宋" w:eastAsia="仿宋" w:hAnsi="仿宋" w:cs="仿宋" w:hint="eastAsia"/>
          <w:sz w:val="28"/>
          <w:szCs w:val="28"/>
        </w:rPr>
        <w:t>积极发挥指导作用，与国际社会、</w:t>
      </w:r>
      <w:r w:rsidRPr="009A6AB5">
        <w:rPr>
          <w:rFonts w:ascii="仿宋" w:eastAsia="仿宋" w:hAnsi="仿宋" w:cs="仿宋"/>
          <w:sz w:val="28"/>
          <w:szCs w:val="28"/>
        </w:rPr>
        <w:t>NGO</w:t>
      </w:r>
      <w:r w:rsidRPr="009A6AB5">
        <w:rPr>
          <w:rFonts w:ascii="仿宋" w:eastAsia="仿宋" w:hAnsi="仿宋" w:cs="仿宋" w:hint="eastAsia"/>
          <w:sz w:val="28"/>
          <w:szCs w:val="28"/>
        </w:rPr>
        <w:t>组织和项目利益相关方积极沟通，为中国金融机构和企业创造良好</w:t>
      </w:r>
      <w:r w:rsidR="00F12304" w:rsidRPr="009A6AB5">
        <w:rPr>
          <w:rFonts w:ascii="仿宋" w:eastAsia="仿宋" w:hAnsi="仿宋" w:cs="仿宋" w:hint="eastAsia"/>
          <w:sz w:val="28"/>
          <w:szCs w:val="28"/>
        </w:rPr>
        <w:t>的</w:t>
      </w:r>
      <w:r w:rsidRPr="009A6AB5">
        <w:rPr>
          <w:rFonts w:ascii="仿宋" w:eastAsia="仿宋" w:hAnsi="仿宋" w:cs="仿宋" w:hint="eastAsia"/>
          <w:sz w:val="28"/>
          <w:szCs w:val="28"/>
        </w:rPr>
        <w:t>信息沟通环境。</w:t>
      </w:r>
    </w:p>
    <w:p w14:paraId="52A03D76" w14:textId="77777777" w:rsidR="00B05188" w:rsidRDefault="00B05188">
      <w:pPr>
        <w:widowControl/>
        <w:spacing w:after="5" w:line="250" w:lineRule="auto"/>
        <w:ind w:right="28"/>
        <w:jc w:val="left"/>
        <w:rPr>
          <w:rFonts w:ascii="仿宋" w:eastAsia="仿宋" w:hAnsi="仿宋" w:cstheme="minorBidi"/>
          <w:sz w:val="28"/>
          <w:szCs w:val="28"/>
        </w:rPr>
      </w:pPr>
    </w:p>
    <w:p w14:paraId="6862A8B6" w14:textId="77777777" w:rsidR="00B05188" w:rsidRDefault="00D554D3">
      <w:pPr>
        <w:widowControl/>
        <w:spacing w:after="5" w:line="250" w:lineRule="auto"/>
        <w:ind w:right="28"/>
        <w:jc w:val="center"/>
        <w:rPr>
          <w:rFonts w:ascii="仿宋" w:eastAsia="仿宋" w:hAnsi="仿宋" w:cstheme="minorBidi"/>
          <w:sz w:val="28"/>
          <w:szCs w:val="28"/>
        </w:rPr>
      </w:pP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仿宋" w:hint="eastAsia"/>
          <w:sz w:val="28"/>
          <w:szCs w:val="28"/>
        </w:rPr>
        <w:t>中国金融学会绿色金融专业委员会</w:t>
      </w:r>
    </w:p>
    <w:p w14:paraId="2BEF4DF2" w14:textId="77777777" w:rsidR="00B05188" w:rsidRDefault="00D554D3">
      <w:pPr>
        <w:widowControl/>
        <w:spacing w:after="5" w:line="250" w:lineRule="auto"/>
        <w:ind w:right="28"/>
        <w:jc w:val="center"/>
        <w:rPr>
          <w:rFonts w:ascii="仿宋" w:eastAsia="仿宋" w:hAnsi="仿宋" w:cstheme="minorBidi"/>
          <w:sz w:val="28"/>
          <w:szCs w:val="28"/>
        </w:rPr>
      </w:pPr>
      <w:r>
        <w:rPr>
          <w:rFonts w:ascii="仿宋" w:eastAsia="仿宋" w:hAnsi="仿宋" w:cstheme="minorBidi"/>
          <w:sz w:val="28"/>
          <w:szCs w:val="28"/>
        </w:rPr>
        <w:tab/>
      </w:r>
      <w:r w:rsidR="00BA7EE8">
        <w:rPr>
          <w:rFonts w:ascii="仿宋" w:eastAsia="仿宋" w:hAnsi="仿宋" w:cstheme="minorBidi"/>
          <w:sz w:val="28"/>
          <w:szCs w:val="28"/>
        </w:rPr>
        <w:t xml:space="preserve"> </w:t>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仿宋" w:hint="eastAsia"/>
          <w:sz w:val="28"/>
          <w:szCs w:val="28"/>
        </w:rPr>
        <w:t>中国投资协会</w:t>
      </w:r>
    </w:p>
    <w:p w14:paraId="168E121C" w14:textId="77777777" w:rsidR="00B05188" w:rsidRDefault="00D554D3">
      <w:pPr>
        <w:widowControl/>
        <w:spacing w:after="5" w:line="250" w:lineRule="auto"/>
        <w:ind w:right="28"/>
        <w:jc w:val="center"/>
        <w:rPr>
          <w:rFonts w:ascii="仿宋" w:eastAsia="仿宋" w:hAnsi="仿宋" w:cstheme="minorBidi"/>
          <w:sz w:val="28"/>
          <w:szCs w:val="28"/>
        </w:rPr>
      </w:pP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仿宋" w:hint="eastAsia"/>
          <w:sz w:val="28"/>
          <w:szCs w:val="28"/>
        </w:rPr>
        <w:t>中国银行业协会</w:t>
      </w:r>
    </w:p>
    <w:p w14:paraId="635983CD" w14:textId="77777777" w:rsidR="00B05188" w:rsidRDefault="00D554D3">
      <w:pPr>
        <w:widowControl/>
        <w:spacing w:after="5" w:line="250" w:lineRule="auto"/>
        <w:ind w:left="1680" w:right="28" w:firstLine="420"/>
        <w:jc w:val="center"/>
        <w:rPr>
          <w:rFonts w:ascii="仿宋" w:eastAsia="仿宋" w:hAnsi="仿宋" w:cstheme="minorBidi"/>
          <w:sz w:val="28"/>
          <w:szCs w:val="28"/>
        </w:rPr>
      </w:pPr>
      <w:r>
        <w:rPr>
          <w:rFonts w:ascii="仿宋" w:eastAsia="仿宋" w:hAnsi="仿宋" w:cs="仿宋" w:hint="eastAsia"/>
          <w:sz w:val="28"/>
          <w:szCs w:val="28"/>
        </w:rPr>
        <w:t>中国证券投资基金业协会</w:t>
      </w:r>
    </w:p>
    <w:p w14:paraId="7C22422F" w14:textId="77777777" w:rsidR="00B05188" w:rsidRDefault="00D554D3">
      <w:pPr>
        <w:widowControl/>
        <w:spacing w:after="5" w:line="250" w:lineRule="auto"/>
        <w:ind w:left="1680" w:right="28" w:firstLine="420"/>
        <w:jc w:val="center"/>
        <w:rPr>
          <w:rFonts w:ascii="仿宋" w:eastAsia="仿宋" w:hAnsi="仿宋" w:cstheme="minorBidi"/>
          <w:sz w:val="28"/>
          <w:szCs w:val="28"/>
        </w:rPr>
      </w:pPr>
      <w:r>
        <w:rPr>
          <w:rFonts w:ascii="仿宋" w:eastAsia="仿宋" w:hAnsi="仿宋" w:cs="仿宋" w:hint="eastAsia"/>
          <w:sz w:val="28"/>
          <w:szCs w:val="28"/>
        </w:rPr>
        <w:t>中国保险资产管理业协会</w:t>
      </w:r>
    </w:p>
    <w:p w14:paraId="495208CC" w14:textId="77777777" w:rsidR="00B05188" w:rsidRDefault="00D554D3">
      <w:pPr>
        <w:widowControl/>
        <w:spacing w:after="5" w:line="250" w:lineRule="auto"/>
        <w:ind w:right="28"/>
        <w:jc w:val="center"/>
        <w:rPr>
          <w:rFonts w:ascii="仿宋" w:eastAsia="仿宋" w:hAnsi="仿宋" w:cstheme="minorBidi"/>
          <w:sz w:val="28"/>
          <w:szCs w:val="28"/>
        </w:rPr>
      </w:pP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theme="minorBidi"/>
          <w:sz w:val="28"/>
          <w:szCs w:val="28"/>
        </w:rPr>
        <w:tab/>
      </w:r>
      <w:r>
        <w:rPr>
          <w:rFonts w:ascii="仿宋" w:eastAsia="仿宋" w:hAnsi="仿宋" w:cs="仿宋" w:hint="eastAsia"/>
          <w:sz w:val="28"/>
          <w:szCs w:val="28"/>
        </w:rPr>
        <w:t>中国信托业协会</w:t>
      </w:r>
    </w:p>
    <w:p w14:paraId="6B286089" w14:textId="77777777" w:rsidR="00B05188" w:rsidRDefault="00BA7EE8">
      <w:pPr>
        <w:widowControl/>
        <w:spacing w:after="5" w:line="250" w:lineRule="auto"/>
        <w:ind w:left="1260" w:right="28" w:firstLine="420"/>
        <w:jc w:val="center"/>
        <w:rPr>
          <w:rFonts w:ascii="仿宋" w:eastAsia="仿宋" w:hAnsi="仿宋" w:cstheme="minorBidi"/>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sidR="00D554D3">
        <w:rPr>
          <w:rFonts w:ascii="仿宋" w:eastAsia="仿宋" w:hAnsi="仿宋" w:cs="仿宋" w:hint="eastAsia"/>
          <w:sz w:val="28"/>
          <w:szCs w:val="28"/>
        </w:rPr>
        <w:t>环境保护部环境保护对外合作中心</w:t>
      </w:r>
    </w:p>
    <w:p w14:paraId="070C4D3A" w14:textId="77777777" w:rsidR="00B05188" w:rsidRDefault="00B05188">
      <w:pPr>
        <w:widowControl/>
        <w:spacing w:after="5" w:line="250" w:lineRule="auto"/>
        <w:ind w:right="28"/>
        <w:jc w:val="left"/>
        <w:rPr>
          <w:rFonts w:ascii="仿宋" w:eastAsia="仿宋" w:hAnsi="仿宋" w:cstheme="minorBidi"/>
          <w:sz w:val="28"/>
          <w:szCs w:val="28"/>
        </w:rPr>
      </w:pPr>
    </w:p>
    <w:p w14:paraId="7DFB5B72" w14:textId="77777777" w:rsidR="00CF0AC1" w:rsidRDefault="00D554D3">
      <w:pPr>
        <w:widowControl/>
        <w:spacing w:after="5" w:line="250" w:lineRule="auto"/>
        <w:ind w:right="28"/>
        <w:jc w:val="right"/>
        <w:rPr>
          <w:rFonts w:ascii="仿宋" w:eastAsia="仿宋" w:hAnsi="仿宋" w:cs="仿宋"/>
          <w:sz w:val="28"/>
          <w:szCs w:val="28"/>
        </w:rPr>
      </w:pPr>
      <w:r>
        <w:rPr>
          <w:rFonts w:ascii="仿宋" w:eastAsia="仿宋" w:hAnsi="仿宋" w:cs="仿宋"/>
          <w:sz w:val="28"/>
          <w:szCs w:val="28"/>
        </w:rPr>
        <w:t xml:space="preserve">2017 </w:t>
      </w:r>
      <w:r>
        <w:rPr>
          <w:rFonts w:ascii="仿宋" w:eastAsia="仿宋" w:hAnsi="仿宋" w:cs="仿宋" w:hint="eastAsia"/>
          <w:sz w:val="28"/>
          <w:szCs w:val="28"/>
        </w:rPr>
        <w:t>年</w:t>
      </w:r>
      <w:r>
        <w:rPr>
          <w:rFonts w:ascii="仿宋" w:eastAsia="仿宋" w:hAnsi="仿宋" w:cs="仿宋"/>
          <w:sz w:val="28"/>
          <w:szCs w:val="28"/>
        </w:rPr>
        <w:t>9</w:t>
      </w:r>
      <w:r>
        <w:rPr>
          <w:rFonts w:ascii="仿宋" w:eastAsia="仿宋" w:hAnsi="仿宋" w:cs="仿宋" w:hint="eastAsia"/>
          <w:sz w:val="28"/>
          <w:szCs w:val="28"/>
        </w:rPr>
        <w:t>月</w:t>
      </w:r>
      <w:r>
        <w:rPr>
          <w:rFonts w:ascii="仿宋" w:eastAsia="仿宋" w:hAnsi="仿宋" w:cs="仿宋"/>
          <w:sz w:val="28"/>
          <w:szCs w:val="28"/>
        </w:rPr>
        <w:t>5</w:t>
      </w:r>
      <w:r>
        <w:rPr>
          <w:rFonts w:ascii="仿宋" w:eastAsia="仿宋" w:hAnsi="仿宋" w:cs="仿宋" w:hint="eastAsia"/>
          <w:sz w:val="28"/>
          <w:szCs w:val="28"/>
        </w:rPr>
        <w:t>日</w:t>
      </w:r>
    </w:p>
    <w:p w14:paraId="2EF01927" w14:textId="77777777" w:rsidR="00CF0AC1" w:rsidRDefault="00CF0AC1">
      <w:pPr>
        <w:widowControl/>
        <w:jc w:val="left"/>
        <w:rPr>
          <w:rFonts w:ascii="仿宋" w:eastAsia="仿宋" w:hAnsi="仿宋" w:cs="仿宋"/>
          <w:sz w:val="28"/>
          <w:szCs w:val="28"/>
        </w:rPr>
      </w:pPr>
      <w:r>
        <w:rPr>
          <w:rFonts w:ascii="仿宋" w:eastAsia="仿宋" w:hAnsi="仿宋" w:cs="仿宋"/>
          <w:sz w:val="28"/>
          <w:szCs w:val="28"/>
        </w:rPr>
        <w:br w:type="page"/>
      </w:r>
    </w:p>
    <w:p w14:paraId="4C01C702" w14:textId="77777777" w:rsidR="00CF0AC1" w:rsidRPr="00904A29" w:rsidRDefault="00CF0AC1" w:rsidP="00CF0AC1">
      <w:pPr>
        <w:adjustRightInd w:val="0"/>
        <w:snapToGrid w:val="0"/>
        <w:rPr>
          <w:rFonts w:ascii="Times New Roman" w:eastAsia="仿宋" w:hAnsi="Times New Roman" w:cs="Times New Roman"/>
          <w:b/>
          <w:sz w:val="24"/>
        </w:rPr>
      </w:pPr>
    </w:p>
    <w:p w14:paraId="7B3C6965" w14:textId="77777777" w:rsidR="00CF0AC1" w:rsidRPr="00904A29" w:rsidRDefault="00CF0AC1" w:rsidP="00CF0AC1">
      <w:pPr>
        <w:adjustRightInd w:val="0"/>
        <w:snapToGrid w:val="0"/>
        <w:rPr>
          <w:rFonts w:ascii="Times New Roman" w:eastAsia="仿宋" w:hAnsi="Times New Roman" w:cs="Times New Roman"/>
          <w:b/>
          <w:sz w:val="24"/>
        </w:rPr>
      </w:pPr>
    </w:p>
    <w:p w14:paraId="57A44771" w14:textId="77777777" w:rsidR="00CF0AC1" w:rsidRDefault="00CF0AC1" w:rsidP="00CF0AC1">
      <w:pPr>
        <w:adjustRightInd w:val="0"/>
        <w:snapToGrid w:val="0"/>
        <w:jc w:val="center"/>
        <w:rPr>
          <w:rFonts w:ascii="Times New Roman" w:eastAsia="仿宋" w:hAnsi="Times New Roman" w:cs="Times New Roman"/>
          <w:b/>
          <w:sz w:val="32"/>
          <w:szCs w:val="32"/>
        </w:rPr>
      </w:pPr>
    </w:p>
    <w:p w14:paraId="5455AEB7" w14:textId="77777777" w:rsidR="00CF0AC1" w:rsidRDefault="00CF0AC1" w:rsidP="00CF0AC1">
      <w:pPr>
        <w:adjustRightInd w:val="0"/>
        <w:snapToGrid w:val="0"/>
        <w:jc w:val="center"/>
        <w:rPr>
          <w:rFonts w:ascii="Times New Roman" w:eastAsia="仿宋" w:hAnsi="Times New Roman" w:cs="Times New Roman"/>
          <w:b/>
          <w:sz w:val="32"/>
          <w:szCs w:val="32"/>
        </w:rPr>
      </w:pPr>
    </w:p>
    <w:p w14:paraId="761C7533" w14:textId="77777777" w:rsidR="00CF0AC1" w:rsidRDefault="00CF0AC1" w:rsidP="00882106">
      <w:pPr>
        <w:adjustRightInd w:val="0"/>
        <w:snapToGrid w:val="0"/>
        <w:jc w:val="center"/>
        <w:outlineLvl w:val="0"/>
        <w:rPr>
          <w:rFonts w:ascii="Times New Roman" w:eastAsia="仿宋" w:hAnsi="Times New Roman" w:cs="Times New Roman"/>
          <w:b/>
          <w:sz w:val="32"/>
          <w:szCs w:val="32"/>
        </w:rPr>
      </w:pPr>
      <w:r w:rsidRPr="00E86882">
        <w:rPr>
          <w:rFonts w:ascii="Times New Roman" w:eastAsia="仿宋" w:hAnsi="Times New Roman" w:cs="Times New Roman"/>
          <w:b/>
          <w:sz w:val="32"/>
          <w:szCs w:val="32"/>
        </w:rPr>
        <w:t>Environmental Risk Management Initiative</w:t>
      </w:r>
      <w:r>
        <w:rPr>
          <w:rFonts w:ascii="Times New Roman" w:eastAsia="仿宋" w:hAnsi="Times New Roman" w:cs="Times New Roman"/>
          <w:b/>
          <w:sz w:val="32"/>
          <w:szCs w:val="32"/>
        </w:rPr>
        <w:t xml:space="preserve"> </w:t>
      </w:r>
      <w:r>
        <w:rPr>
          <w:rFonts w:ascii="Times New Roman" w:eastAsia="仿宋" w:hAnsi="Times New Roman" w:cs="Times New Roman" w:hint="eastAsia"/>
          <w:b/>
          <w:sz w:val="32"/>
          <w:szCs w:val="32"/>
        </w:rPr>
        <w:t>for</w:t>
      </w:r>
    </w:p>
    <w:p w14:paraId="3CC913BF" w14:textId="77777777" w:rsidR="00CF0AC1" w:rsidRDefault="00CF0AC1" w:rsidP="00CF0AC1">
      <w:pPr>
        <w:adjustRightInd w:val="0"/>
        <w:snapToGrid w:val="0"/>
        <w:jc w:val="center"/>
        <w:rPr>
          <w:rFonts w:ascii="Times New Roman" w:eastAsia="仿宋" w:hAnsi="Times New Roman" w:cs="Times New Roman"/>
          <w:b/>
          <w:sz w:val="32"/>
          <w:szCs w:val="32"/>
        </w:rPr>
      </w:pPr>
      <w:r w:rsidRPr="00E86882">
        <w:rPr>
          <w:rFonts w:ascii="Times New Roman" w:eastAsia="仿宋" w:hAnsi="Times New Roman" w:cs="Times New Roman"/>
          <w:b/>
          <w:sz w:val="32"/>
          <w:szCs w:val="32"/>
        </w:rPr>
        <w:t>China’s Overse</w:t>
      </w:r>
      <w:r>
        <w:rPr>
          <w:rFonts w:ascii="Times New Roman" w:eastAsia="仿宋" w:hAnsi="Times New Roman" w:cs="Times New Roman"/>
          <w:b/>
          <w:sz w:val="32"/>
          <w:szCs w:val="32"/>
        </w:rPr>
        <w:t>as</w:t>
      </w:r>
      <w:r w:rsidRPr="00E86882">
        <w:rPr>
          <w:rFonts w:ascii="Times New Roman" w:eastAsia="仿宋" w:hAnsi="Times New Roman" w:cs="Times New Roman"/>
          <w:b/>
          <w:sz w:val="32"/>
          <w:szCs w:val="32"/>
        </w:rPr>
        <w:t xml:space="preserve"> Investment</w:t>
      </w:r>
    </w:p>
    <w:p w14:paraId="090767B9" w14:textId="77777777" w:rsidR="00CF0AC1" w:rsidRPr="00E86882" w:rsidRDefault="00CF0AC1" w:rsidP="00CF0AC1">
      <w:pPr>
        <w:adjustRightInd w:val="0"/>
        <w:snapToGrid w:val="0"/>
        <w:jc w:val="center"/>
        <w:rPr>
          <w:rFonts w:ascii="Times New Roman" w:eastAsia="仿宋" w:hAnsi="Times New Roman" w:cs="Times New Roman"/>
          <w:b/>
          <w:sz w:val="32"/>
          <w:szCs w:val="32"/>
        </w:rPr>
      </w:pPr>
    </w:p>
    <w:p w14:paraId="7C22D5CE" w14:textId="77777777" w:rsidR="00CF0AC1" w:rsidRPr="00904A29" w:rsidRDefault="00CF0AC1" w:rsidP="00CF0AC1">
      <w:pPr>
        <w:adjustRightInd w:val="0"/>
        <w:snapToGrid w:val="0"/>
        <w:rPr>
          <w:rFonts w:ascii="Times New Roman" w:eastAsia="仿宋" w:hAnsi="Times New Roman" w:cs="Times New Roman"/>
          <w:b/>
          <w:sz w:val="24"/>
        </w:rPr>
      </w:pPr>
    </w:p>
    <w:p w14:paraId="5F71497A" w14:textId="2639EED0" w:rsidR="00CF0AC1" w:rsidRDefault="00CF0AC1" w:rsidP="00CF0AC1">
      <w:pPr>
        <w:adjustRightInd w:val="0"/>
        <w:snapToGrid w:val="0"/>
        <w:rPr>
          <w:rFonts w:ascii="Times New Roman" w:eastAsia="仿宋" w:hAnsi="Times New Roman" w:cs="Times New Roman"/>
          <w:sz w:val="24"/>
        </w:rPr>
      </w:pPr>
      <w:r>
        <w:rPr>
          <w:rFonts w:ascii="Times New Roman" w:eastAsia="仿宋" w:hAnsi="Times New Roman" w:cs="Times New Roman"/>
          <w:noProof/>
          <w:sz w:val="24"/>
        </w:rPr>
        <w:t>By improving</w:t>
      </w:r>
      <w:r w:rsidRPr="00904A29">
        <w:rPr>
          <w:rFonts w:ascii="Times New Roman" w:eastAsia="仿宋" w:hAnsi="Times New Roman" w:cs="Times New Roman"/>
          <w:noProof/>
          <w:sz w:val="24"/>
        </w:rPr>
        <w:t xml:space="preserve"> </w:t>
      </w:r>
      <w:r>
        <w:rPr>
          <w:rFonts w:ascii="Times New Roman" w:eastAsia="仿宋" w:hAnsi="Times New Roman" w:cs="Times New Roman"/>
          <w:noProof/>
          <w:sz w:val="24"/>
        </w:rPr>
        <w:t xml:space="preserve">the </w:t>
      </w:r>
      <w:r w:rsidRPr="00904A29">
        <w:rPr>
          <w:rFonts w:ascii="Times New Roman" w:eastAsia="仿宋" w:hAnsi="Times New Roman" w:cs="Times New Roman"/>
          <w:noProof/>
          <w:sz w:val="24"/>
        </w:rPr>
        <w:t>environm</w:t>
      </w:r>
      <w:r>
        <w:rPr>
          <w:rFonts w:ascii="Times New Roman" w:eastAsia="仿宋" w:hAnsi="Times New Roman" w:cs="Times New Roman"/>
          <w:noProof/>
          <w:sz w:val="24"/>
        </w:rPr>
        <w:t>e</w:t>
      </w:r>
      <w:r w:rsidRPr="00904A29">
        <w:rPr>
          <w:rFonts w:ascii="Times New Roman" w:eastAsia="仿宋" w:hAnsi="Times New Roman" w:cs="Times New Roman"/>
          <w:noProof/>
          <w:sz w:val="24"/>
        </w:rPr>
        <w:t xml:space="preserve">ntal risk management </w:t>
      </w:r>
      <w:r>
        <w:rPr>
          <w:rFonts w:ascii="Times New Roman" w:eastAsia="仿宋" w:hAnsi="Times New Roman" w:cs="Times New Roman"/>
          <w:noProof/>
          <w:sz w:val="24"/>
        </w:rPr>
        <w:t xml:space="preserve">of their </w:t>
      </w:r>
      <w:r w:rsidRPr="00904A29">
        <w:rPr>
          <w:rFonts w:ascii="Times New Roman" w:eastAsia="仿宋" w:hAnsi="Times New Roman" w:cs="Times New Roman"/>
          <w:noProof/>
          <w:sz w:val="24"/>
        </w:rPr>
        <w:t xml:space="preserve">overseas </w:t>
      </w:r>
      <w:r>
        <w:rPr>
          <w:rFonts w:ascii="Times New Roman" w:eastAsia="仿宋" w:hAnsi="Times New Roman" w:cs="Times New Roman"/>
          <w:noProof/>
          <w:sz w:val="24"/>
        </w:rPr>
        <w:t xml:space="preserve">investments and by </w:t>
      </w:r>
      <w:r w:rsidRPr="00904A29">
        <w:rPr>
          <w:rFonts w:ascii="Times New Roman" w:eastAsia="仿宋" w:hAnsi="Times New Roman" w:cs="Times New Roman"/>
          <w:noProof/>
          <w:sz w:val="24"/>
        </w:rPr>
        <w:t>adopting responsible investment principle</w:t>
      </w:r>
      <w:r w:rsidRPr="00E86882">
        <w:rPr>
          <w:rFonts w:ascii="Times New Roman" w:eastAsia="仿宋" w:hAnsi="Times New Roman" w:cs="Times New Roman"/>
          <w:noProof/>
          <w:sz w:val="24"/>
        </w:rPr>
        <w:t>s</w:t>
      </w:r>
      <w:r w:rsidRPr="00904A29">
        <w:rPr>
          <w:rFonts w:ascii="Times New Roman" w:eastAsia="仿宋" w:hAnsi="Times New Roman" w:cs="Times New Roman"/>
          <w:noProof/>
          <w:sz w:val="24"/>
        </w:rPr>
        <w:t xml:space="preserve">, </w:t>
      </w:r>
      <w:r>
        <w:rPr>
          <w:rFonts w:ascii="Times New Roman" w:eastAsia="仿宋" w:hAnsi="Times New Roman" w:cs="Times New Roman"/>
          <w:noProof/>
          <w:sz w:val="24"/>
        </w:rPr>
        <w:t>Chinese financial institutions and enterprises can significantly accelerate progress towards key sustainability goals, such as the ‘</w:t>
      </w:r>
      <w:r w:rsidRPr="00904A29">
        <w:rPr>
          <w:rFonts w:ascii="Times New Roman" w:eastAsia="仿宋" w:hAnsi="Times New Roman" w:cs="Times New Roman"/>
          <w:noProof/>
          <w:sz w:val="24"/>
        </w:rPr>
        <w:t>green</w:t>
      </w:r>
      <w:r>
        <w:rPr>
          <w:rFonts w:ascii="Times New Roman" w:eastAsia="仿宋" w:hAnsi="Times New Roman" w:cs="Times New Roman"/>
          <w:noProof/>
          <w:sz w:val="24"/>
        </w:rPr>
        <w:t>ing’</w:t>
      </w:r>
      <w:r w:rsidRPr="00904A29">
        <w:rPr>
          <w:rFonts w:ascii="Times New Roman" w:eastAsia="仿宋" w:hAnsi="Times New Roman" w:cs="Times New Roman"/>
          <w:noProof/>
          <w:sz w:val="24"/>
        </w:rPr>
        <w:t xml:space="preserve"> </w:t>
      </w:r>
      <w:r>
        <w:rPr>
          <w:rFonts w:ascii="Times New Roman" w:eastAsia="仿宋" w:hAnsi="Times New Roman" w:cs="Times New Roman"/>
          <w:noProof/>
          <w:sz w:val="24"/>
        </w:rPr>
        <w:t>of the</w:t>
      </w:r>
      <w:r w:rsidRPr="00904A29">
        <w:rPr>
          <w:rFonts w:ascii="Times New Roman" w:eastAsia="仿宋" w:hAnsi="Times New Roman" w:cs="Times New Roman"/>
          <w:noProof/>
          <w:sz w:val="24"/>
        </w:rPr>
        <w:t xml:space="preserve"> Belt and Road (B&amp;R) Initiative, </w:t>
      </w:r>
      <w:r>
        <w:rPr>
          <w:rFonts w:ascii="Times New Roman" w:eastAsia="仿宋" w:hAnsi="Times New Roman" w:cs="Times New Roman"/>
          <w:noProof/>
          <w:sz w:val="24"/>
        </w:rPr>
        <w:t xml:space="preserve">the fulfilment the </w:t>
      </w:r>
      <w:r w:rsidRPr="00904A29">
        <w:rPr>
          <w:rFonts w:ascii="Times New Roman" w:eastAsia="仿宋" w:hAnsi="Times New Roman" w:cs="Times New Roman"/>
          <w:noProof/>
          <w:sz w:val="24"/>
        </w:rPr>
        <w:t>2030 Agenda for Sustainable Development and the Paris Agreement</w:t>
      </w:r>
      <w:r>
        <w:rPr>
          <w:rFonts w:ascii="Times New Roman" w:eastAsia="仿宋" w:hAnsi="Times New Roman" w:cs="Times New Roman"/>
          <w:noProof/>
          <w:sz w:val="24"/>
        </w:rPr>
        <w:t xml:space="preserve"> on climate change</w:t>
      </w:r>
      <w:r w:rsidRPr="00904A29">
        <w:rPr>
          <w:rFonts w:ascii="Times New Roman" w:eastAsia="仿宋" w:hAnsi="Times New Roman" w:cs="Times New Roman"/>
          <w:noProof/>
          <w:sz w:val="24"/>
        </w:rPr>
        <w:t xml:space="preserve">, and </w:t>
      </w:r>
      <w:r>
        <w:rPr>
          <w:rFonts w:ascii="Times New Roman" w:eastAsia="仿宋" w:hAnsi="Times New Roman" w:cs="Times New Roman"/>
          <w:noProof/>
          <w:sz w:val="24"/>
        </w:rPr>
        <w:t xml:space="preserve">the implementation of </w:t>
      </w:r>
      <w:r w:rsidRPr="0044465E">
        <w:rPr>
          <w:rFonts w:ascii="Times New Roman" w:eastAsia="仿宋" w:hAnsi="Times New Roman" w:cs="Times New Roman"/>
          <w:noProof/>
          <w:sz w:val="24"/>
        </w:rPr>
        <w:t>the ‘</w:t>
      </w:r>
      <w:r w:rsidRPr="001D6FCF">
        <w:rPr>
          <w:rFonts w:ascii="Times New Roman" w:eastAsia="仿宋" w:hAnsi="Times New Roman" w:cs="Times New Roman"/>
          <w:noProof/>
          <w:sz w:val="24"/>
        </w:rPr>
        <w:t>Guidelines for Establishing the Green Financ</w:t>
      </w:r>
      <w:r w:rsidR="00D92E93">
        <w:rPr>
          <w:rFonts w:ascii="Times New Roman" w:eastAsia="仿宋" w:hAnsi="Times New Roman" w:cs="Times New Roman"/>
          <w:noProof/>
          <w:sz w:val="24"/>
        </w:rPr>
        <w:t>ial</w:t>
      </w:r>
      <w:r w:rsidRPr="001D6FCF">
        <w:rPr>
          <w:rFonts w:ascii="Times New Roman" w:eastAsia="仿宋" w:hAnsi="Times New Roman" w:cs="Times New Roman"/>
          <w:noProof/>
          <w:sz w:val="24"/>
        </w:rPr>
        <w:t xml:space="preserve"> System’ enacted by the </w:t>
      </w:r>
      <w:r>
        <w:rPr>
          <w:rFonts w:ascii="Times New Roman" w:eastAsia="仿宋" w:hAnsi="Times New Roman" w:cs="Times New Roman"/>
          <w:noProof/>
          <w:sz w:val="24"/>
        </w:rPr>
        <w:t>seven</w:t>
      </w:r>
      <w:r w:rsidRPr="001D6FCF">
        <w:rPr>
          <w:rFonts w:ascii="Times New Roman" w:eastAsia="仿宋" w:hAnsi="Times New Roman" w:cs="Times New Roman"/>
          <w:noProof/>
          <w:sz w:val="24"/>
        </w:rPr>
        <w:t xml:space="preserve"> state ministries</w:t>
      </w:r>
      <w:r w:rsidRPr="00217E2F">
        <w:rPr>
          <w:rFonts w:ascii="Times New Roman" w:eastAsia="仿宋" w:hAnsi="Times New Roman" w:cs="Times New Roman"/>
          <w:noProof/>
          <w:sz w:val="24"/>
        </w:rPr>
        <w:t>. To encourage and guide this effort</w:t>
      </w:r>
      <w:r>
        <w:rPr>
          <w:rFonts w:ascii="Times New Roman" w:eastAsia="仿宋" w:hAnsi="Times New Roman" w:cs="Times New Roman"/>
          <w:noProof/>
          <w:sz w:val="24"/>
        </w:rPr>
        <w:t xml:space="preserve"> by Chinese financial institutions and enterprises</w:t>
      </w:r>
      <w:r w:rsidRPr="00217E2F">
        <w:rPr>
          <w:rFonts w:ascii="Times New Roman" w:eastAsia="仿宋" w:hAnsi="Times New Roman" w:cs="Times New Roman"/>
          <w:noProof/>
          <w:sz w:val="24"/>
        </w:rPr>
        <w:t>, the following Environmental Risk Management Initiative for China’s Overseas Investment has now been jointly launched, by</w:t>
      </w:r>
      <w:r>
        <w:rPr>
          <w:rFonts w:ascii="Times New Roman" w:eastAsia="仿宋" w:hAnsi="Times New Roman" w:cs="Times New Roman"/>
          <w:b/>
          <w:noProof/>
          <w:sz w:val="24"/>
        </w:rPr>
        <w:t xml:space="preserve"> </w:t>
      </w:r>
      <w:r w:rsidRPr="008F702C">
        <w:rPr>
          <w:rFonts w:ascii="Times New Roman" w:eastAsia="仿宋" w:hAnsi="Times New Roman" w:cs="Times New Roman"/>
          <w:noProof/>
          <w:sz w:val="24"/>
        </w:rPr>
        <w:t>t</w:t>
      </w:r>
      <w:r w:rsidRPr="001D6FCF">
        <w:rPr>
          <w:rFonts w:ascii="Times New Roman" w:eastAsia="仿宋" w:hAnsi="Times New Roman" w:cs="Times New Roman"/>
          <w:noProof/>
          <w:sz w:val="24"/>
        </w:rPr>
        <w:t>he Green Finance Committee (GFC) of</w:t>
      </w:r>
      <w:r>
        <w:rPr>
          <w:rFonts w:ascii="Times New Roman" w:eastAsia="仿宋" w:hAnsi="Times New Roman" w:cs="Times New Roman"/>
          <w:noProof/>
          <w:sz w:val="24"/>
        </w:rPr>
        <w:t xml:space="preserve"> </w:t>
      </w:r>
      <w:r w:rsidRPr="00904A29">
        <w:rPr>
          <w:rFonts w:ascii="Times New Roman" w:eastAsia="仿宋" w:hAnsi="Times New Roman" w:cs="Times New Roman"/>
          <w:noProof/>
          <w:sz w:val="24"/>
        </w:rPr>
        <w:t xml:space="preserve">China Society for Finance and Banking, </w:t>
      </w:r>
      <w:r w:rsidR="00106769" w:rsidRPr="00904A29">
        <w:rPr>
          <w:rFonts w:ascii="Times New Roman" w:eastAsia="仿宋" w:hAnsi="Times New Roman" w:cs="Times New Roman"/>
          <w:noProof/>
          <w:sz w:val="24"/>
        </w:rPr>
        <w:t>Investment Association of China (IAC),</w:t>
      </w:r>
      <w:r w:rsidR="00106769" w:rsidRPr="00E86882">
        <w:rPr>
          <w:rFonts w:ascii="Times New Roman" w:eastAsia="仿宋" w:hAnsi="Times New Roman" w:cs="Times New Roman"/>
          <w:noProof/>
          <w:color w:val="262626"/>
          <w:kern w:val="0"/>
          <w:sz w:val="24"/>
        </w:rPr>
        <w:t xml:space="preserve"> </w:t>
      </w:r>
      <w:r w:rsidR="00106769" w:rsidRPr="00904A29">
        <w:rPr>
          <w:rFonts w:ascii="Times New Roman" w:eastAsia="仿宋" w:hAnsi="Times New Roman" w:cs="Times New Roman"/>
          <w:noProof/>
          <w:sz w:val="24"/>
        </w:rPr>
        <w:t>China Banking Association (CBA), Asset Management Association of China (AMAC)</w:t>
      </w:r>
      <w:r w:rsidR="00106769">
        <w:rPr>
          <w:rFonts w:ascii="Times New Roman" w:eastAsia="仿宋" w:hAnsi="Times New Roman" w:cs="Times New Roman" w:hint="eastAsia"/>
          <w:noProof/>
          <w:sz w:val="24"/>
        </w:rPr>
        <w:t>，</w:t>
      </w:r>
      <w:r w:rsidRPr="00904A29">
        <w:rPr>
          <w:rFonts w:ascii="Times New Roman" w:eastAsia="仿宋" w:hAnsi="Times New Roman" w:cs="Times New Roman"/>
          <w:noProof/>
          <w:sz w:val="24"/>
        </w:rPr>
        <w:t>Insurance Asset Management Association of China</w:t>
      </w:r>
      <w:r w:rsidRPr="00904A29">
        <w:rPr>
          <w:rFonts w:ascii="Times New Roman" w:eastAsia="PMingLiU" w:hAnsi="Times New Roman" w:cs="Times New Roman"/>
          <w:noProof/>
          <w:sz w:val="24"/>
          <w:lang w:eastAsia="zh-TW"/>
        </w:rPr>
        <w:t xml:space="preserve"> (</w:t>
      </w:r>
      <w:r w:rsidRPr="00904A29">
        <w:rPr>
          <w:rFonts w:ascii="Times New Roman" w:eastAsia="仿宋" w:hAnsi="Times New Roman" w:cs="Times New Roman"/>
          <w:noProof/>
          <w:sz w:val="24"/>
        </w:rPr>
        <w:t xml:space="preserve">IAMAC), China Trustee Association </w:t>
      </w:r>
      <w:r w:rsidRPr="00904A29">
        <w:rPr>
          <w:rFonts w:ascii="Times New Roman" w:eastAsia="PMingLiU" w:hAnsi="Times New Roman" w:cs="Times New Roman"/>
          <w:noProof/>
          <w:sz w:val="24"/>
          <w:lang w:eastAsia="zh-TW"/>
        </w:rPr>
        <w:t>(</w:t>
      </w:r>
      <w:r w:rsidRPr="00904A29">
        <w:rPr>
          <w:rFonts w:ascii="Times New Roman" w:eastAsia="仿宋" w:hAnsi="Times New Roman" w:cs="Times New Roman"/>
          <w:noProof/>
          <w:sz w:val="24"/>
        </w:rPr>
        <w:t>CTA)</w:t>
      </w:r>
      <w:r w:rsidRPr="00E86882">
        <w:rPr>
          <w:rFonts w:ascii="Times New Roman" w:eastAsia="仿宋" w:hAnsi="Times New Roman" w:cs="Times New Roman"/>
          <w:noProof/>
          <w:sz w:val="24"/>
        </w:rPr>
        <w:t>,</w:t>
      </w:r>
      <w:r w:rsidRPr="00904A29">
        <w:rPr>
          <w:rFonts w:ascii="Times New Roman" w:eastAsia="仿宋" w:hAnsi="Times New Roman" w:cs="Times New Roman"/>
          <w:noProof/>
          <w:sz w:val="24"/>
        </w:rPr>
        <w:t xml:space="preserve"> and </w:t>
      </w:r>
      <w:r>
        <w:rPr>
          <w:rFonts w:ascii="Times New Roman" w:eastAsia="仿宋" w:hAnsi="Times New Roman" w:cs="Times New Roman"/>
          <w:noProof/>
          <w:sz w:val="24"/>
        </w:rPr>
        <w:t xml:space="preserve">the </w:t>
      </w:r>
      <w:r w:rsidRPr="00904A29">
        <w:rPr>
          <w:rFonts w:ascii="Times New Roman" w:eastAsia="仿宋" w:hAnsi="Times New Roman" w:cs="Times New Roman"/>
          <w:noProof/>
          <w:sz w:val="24"/>
        </w:rPr>
        <w:t xml:space="preserve">Foreign Economic Cooperation Office (FECO) of </w:t>
      </w:r>
      <w:r>
        <w:rPr>
          <w:rFonts w:ascii="Times New Roman" w:eastAsia="仿宋" w:hAnsi="Times New Roman" w:cs="Times New Roman"/>
          <w:noProof/>
          <w:sz w:val="24"/>
        </w:rPr>
        <w:t xml:space="preserve">the </w:t>
      </w:r>
      <w:r w:rsidRPr="00904A29">
        <w:rPr>
          <w:rFonts w:ascii="Times New Roman" w:eastAsia="仿宋" w:hAnsi="Times New Roman" w:cs="Times New Roman"/>
          <w:noProof/>
          <w:sz w:val="24"/>
        </w:rPr>
        <w:t>Ministry of Environment Protection</w:t>
      </w:r>
      <w:r>
        <w:rPr>
          <w:rFonts w:ascii="Times New Roman" w:eastAsia="仿宋" w:hAnsi="Times New Roman" w:cs="Times New Roman"/>
          <w:noProof/>
          <w:sz w:val="24"/>
        </w:rPr>
        <w:t xml:space="preserve">. </w:t>
      </w:r>
    </w:p>
    <w:p w14:paraId="181CC116" w14:textId="77777777" w:rsidR="00CF0AC1" w:rsidRPr="00904A29" w:rsidRDefault="00CF0AC1" w:rsidP="00CF0AC1">
      <w:pPr>
        <w:adjustRightInd w:val="0"/>
        <w:snapToGrid w:val="0"/>
        <w:rPr>
          <w:rFonts w:ascii="Times New Roman" w:eastAsia="仿宋" w:hAnsi="Times New Roman" w:cs="Times New Roman"/>
          <w:sz w:val="24"/>
        </w:rPr>
      </w:pPr>
    </w:p>
    <w:p w14:paraId="222834D2" w14:textId="77777777" w:rsidR="00CF0AC1" w:rsidRPr="00E86882" w:rsidRDefault="00CF0AC1" w:rsidP="00CF0AC1">
      <w:pPr>
        <w:pStyle w:val="af1"/>
        <w:numPr>
          <w:ilvl w:val="0"/>
          <w:numId w:val="3"/>
        </w:numPr>
        <w:adjustRightInd w:val="0"/>
        <w:snapToGrid w:val="0"/>
        <w:ind w:firstLineChars="0"/>
        <w:rPr>
          <w:rFonts w:ascii="Times New Roman" w:eastAsia="仿宋" w:hAnsi="Times New Roman" w:cs="Times New Roman"/>
          <w:noProof/>
          <w:color w:val="000000" w:themeColor="text1"/>
          <w:kern w:val="0"/>
          <w:sz w:val="24"/>
        </w:rPr>
      </w:pPr>
      <w:r>
        <w:rPr>
          <w:rFonts w:ascii="Times New Roman" w:eastAsia="PMingLiU" w:hAnsi="Times New Roman" w:cs="Times New Roman"/>
          <w:b/>
          <w:bCs/>
          <w:sz w:val="24"/>
          <w:lang w:eastAsia="zh-TW"/>
        </w:rPr>
        <w:t>Financial institutions and enterprises engaged in overseas investment should f</w:t>
      </w:r>
      <w:r w:rsidRPr="00904A29">
        <w:rPr>
          <w:rFonts w:ascii="Times New Roman" w:eastAsia="PMingLiU" w:hAnsi="Times New Roman" w:cs="Times New Roman"/>
          <w:b/>
          <w:bCs/>
          <w:sz w:val="24"/>
          <w:lang w:eastAsia="zh-TW"/>
        </w:rPr>
        <w:t xml:space="preserve">ully understand the </w:t>
      </w:r>
      <w:r w:rsidRPr="0044465E">
        <w:rPr>
          <w:rFonts w:ascii="Times New Roman" w:eastAsia="PMingLiU" w:hAnsi="Times New Roman" w:cs="Times New Roman"/>
          <w:b/>
          <w:bCs/>
          <w:sz w:val="24"/>
          <w:lang w:eastAsia="zh-TW"/>
        </w:rPr>
        <w:t>enviro</w:t>
      </w:r>
      <w:r w:rsidRPr="001D6FCF">
        <w:rPr>
          <w:rFonts w:ascii="Times New Roman" w:eastAsia="PMingLiU" w:hAnsi="Times New Roman" w:cs="Times New Roman"/>
          <w:b/>
          <w:bCs/>
          <w:sz w:val="24"/>
          <w:lang w:eastAsia="zh-TW"/>
        </w:rPr>
        <w:t xml:space="preserve">nmental laws, regulations and </w:t>
      </w:r>
      <w:r w:rsidRPr="00A75D8D">
        <w:rPr>
          <w:rFonts w:ascii="Times New Roman" w:eastAsia="PMingLiU" w:hAnsi="Times New Roman" w:cs="Times New Roman"/>
          <w:b/>
          <w:bCs/>
          <w:sz w:val="24"/>
          <w:lang w:eastAsia="zh-TW"/>
        </w:rPr>
        <w:t>standards of the host countr</w:t>
      </w:r>
      <w:r>
        <w:rPr>
          <w:rFonts w:ascii="Times New Roman" w:eastAsia="PMingLiU" w:hAnsi="Times New Roman" w:cs="Times New Roman"/>
          <w:b/>
          <w:bCs/>
          <w:sz w:val="24"/>
          <w:lang w:eastAsia="zh-TW"/>
        </w:rPr>
        <w:t>ies</w:t>
      </w:r>
      <w:r w:rsidRPr="00A75D8D">
        <w:rPr>
          <w:rFonts w:ascii="Times New Roman" w:eastAsia="PMingLiU" w:hAnsi="Times New Roman" w:cs="Times New Roman"/>
          <w:b/>
          <w:bCs/>
          <w:sz w:val="24"/>
          <w:lang w:eastAsia="zh-TW"/>
        </w:rPr>
        <w:t xml:space="preserve">, as well </w:t>
      </w:r>
      <w:r>
        <w:rPr>
          <w:rFonts w:ascii="Times New Roman" w:eastAsia="PMingLiU" w:hAnsi="Times New Roman" w:cs="Times New Roman"/>
          <w:b/>
          <w:bCs/>
          <w:sz w:val="24"/>
          <w:lang w:eastAsia="zh-TW"/>
        </w:rPr>
        <w:t xml:space="preserve">as the </w:t>
      </w:r>
      <w:r w:rsidRPr="00A75D8D">
        <w:rPr>
          <w:rFonts w:ascii="Times New Roman" w:eastAsia="PMingLiU" w:hAnsi="Times New Roman" w:cs="Times New Roman"/>
          <w:b/>
          <w:bCs/>
          <w:sz w:val="24"/>
          <w:lang w:eastAsia="zh-TW"/>
        </w:rPr>
        <w:t xml:space="preserve">key </w:t>
      </w:r>
      <w:r w:rsidRPr="00A7475D">
        <w:rPr>
          <w:rFonts w:ascii="Times New Roman" w:eastAsia="PMingLiU" w:hAnsi="Times New Roman" w:cs="Times New Roman"/>
          <w:b/>
          <w:bCs/>
          <w:sz w:val="24"/>
          <w:lang w:eastAsia="zh-TW"/>
        </w:rPr>
        <w:t>environmental risks</w:t>
      </w:r>
      <w:r>
        <w:rPr>
          <w:rFonts w:ascii="Times New Roman" w:eastAsia="PMingLiU" w:hAnsi="Times New Roman" w:cs="Times New Roman"/>
          <w:b/>
          <w:bCs/>
          <w:sz w:val="24"/>
          <w:lang w:eastAsia="zh-TW"/>
        </w:rPr>
        <w:t xml:space="preserve"> for their projects</w:t>
      </w:r>
      <w:r w:rsidRPr="00E86882">
        <w:rPr>
          <w:rFonts w:ascii="Times New Roman" w:eastAsia="PMingLiU" w:hAnsi="Times New Roman" w:cs="Times New Roman"/>
          <w:b/>
          <w:bCs/>
          <w:sz w:val="24"/>
          <w:lang w:eastAsia="zh-TW"/>
        </w:rPr>
        <w:t xml:space="preserve">. </w:t>
      </w:r>
      <w:r w:rsidRPr="00E86882">
        <w:rPr>
          <w:rFonts w:ascii="Times New Roman" w:eastAsia="仿宋" w:hAnsi="Times New Roman" w:cs="Times New Roman"/>
          <w:noProof/>
          <w:color w:val="262626"/>
          <w:kern w:val="0"/>
          <w:sz w:val="24"/>
        </w:rPr>
        <w:t>Financial institutions and enterprises</w:t>
      </w:r>
      <w:r>
        <w:rPr>
          <w:rFonts w:ascii="Times New Roman" w:eastAsia="仿宋" w:hAnsi="Times New Roman" w:cs="Times New Roman"/>
          <w:noProof/>
          <w:color w:val="262626"/>
          <w:kern w:val="0"/>
          <w:sz w:val="24"/>
        </w:rPr>
        <w:t xml:space="preserve"> </w:t>
      </w:r>
      <w:r w:rsidRPr="001D6FCF">
        <w:rPr>
          <w:rFonts w:ascii="Times New Roman" w:eastAsia="仿宋" w:hAnsi="Times New Roman" w:cs="Times New Roman"/>
          <w:noProof/>
          <w:color w:val="262626"/>
          <w:kern w:val="0"/>
          <w:sz w:val="24"/>
        </w:rPr>
        <w:t xml:space="preserve">are encouraged to understand and analyze </w:t>
      </w:r>
      <w:r>
        <w:rPr>
          <w:rFonts w:ascii="Times New Roman" w:eastAsia="仿宋" w:hAnsi="Times New Roman" w:cs="Times New Roman"/>
          <w:noProof/>
          <w:color w:val="262626"/>
          <w:kern w:val="0"/>
          <w:sz w:val="24"/>
        </w:rPr>
        <w:t xml:space="preserve">the </w:t>
      </w:r>
      <w:r w:rsidRPr="001D6FCF">
        <w:rPr>
          <w:rFonts w:ascii="Times New Roman" w:eastAsia="仿宋" w:hAnsi="Times New Roman" w:cs="Times New Roman"/>
          <w:noProof/>
          <w:color w:val="262626"/>
          <w:kern w:val="0"/>
          <w:sz w:val="24"/>
        </w:rPr>
        <w:t xml:space="preserve">host countries’ </w:t>
      </w:r>
      <w:r w:rsidRPr="00A75D8D">
        <w:rPr>
          <w:rFonts w:ascii="Times New Roman" w:eastAsia="仿宋" w:hAnsi="Times New Roman" w:cs="Times New Roman"/>
          <w:noProof/>
          <w:color w:val="262626"/>
          <w:kern w:val="0"/>
          <w:sz w:val="24"/>
        </w:rPr>
        <w:t xml:space="preserve">environmental laws, regulations, policies and </w:t>
      </w:r>
      <w:r w:rsidRPr="00A7475D">
        <w:rPr>
          <w:rFonts w:ascii="Times New Roman" w:eastAsia="仿宋" w:hAnsi="Times New Roman" w:cs="Times New Roman"/>
          <w:noProof/>
          <w:color w:val="000000" w:themeColor="text1"/>
          <w:kern w:val="0"/>
          <w:sz w:val="24"/>
        </w:rPr>
        <w:t>standards,</w:t>
      </w:r>
      <w:r w:rsidRPr="00E86882">
        <w:rPr>
          <w:rFonts w:ascii="Times New Roman" w:eastAsia="仿宋" w:hAnsi="Times New Roman" w:cs="Times New Roman"/>
          <w:noProof/>
          <w:color w:val="000000" w:themeColor="text1"/>
          <w:kern w:val="0"/>
          <w:sz w:val="24"/>
        </w:rPr>
        <w:t xml:space="preserve"> </w:t>
      </w:r>
      <w:r>
        <w:rPr>
          <w:rFonts w:ascii="Times New Roman" w:eastAsia="仿宋" w:hAnsi="Times New Roman" w:cs="Times New Roman"/>
          <w:noProof/>
          <w:color w:val="000000" w:themeColor="text1"/>
          <w:kern w:val="0"/>
          <w:sz w:val="24"/>
        </w:rPr>
        <w:t xml:space="preserve">and </w:t>
      </w:r>
      <w:r w:rsidRPr="00E86882">
        <w:rPr>
          <w:rFonts w:ascii="Times New Roman" w:eastAsia="仿宋" w:hAnsi="Times New Roman" w:cs="Times New Roman"/>
          <w:noProof/>
          <w:color w:val="000000" w:themeColor="text1"/>
          <w:kern w:val="0"/>
          <w:sz w:val="24"/>
        </w:rPr>
        <w:t>to identify, assess, mitigate and manage environmental risks for their busin</w:t>
      </w:r>
      <w:r>
        <w:rPr>
          <w:rFonts w:ascii="Times New Roman" w:eastAsia="仿宋" w:hAnsi="Times New Roman" w:cs="Times New Roman"/>
          <w:noProof/>
          <w:color w:val="000000" w:themeColor="text1"/>
          <w:kern w:val="0"/>
          <w:sz w:val="24"/>
        </w:rPr>
        <w:t>e</w:t>
      </w:r>
      <w:r w:rsidRPr="00E86882">
        <w:rPr>
          <w:rFonts w:ascii="Times New Roman" w:eastAsia="仿宋" w:hAnsi="Times New Roman" w:cs="Times New Roman"/>
          <w:noProof/>
          <w:color w:val="000000" w:themeColor="text1"/>
          <w:kern w:val="0"/>
          <w:sz w:val="24"/>
        </w:rPr>
        <w:t xml:space="preserve">ss activities </w:t>
      </w:r>
      <w:r>
        <w:rPr>
          <w:rFonts w:ascii="Times New Roman" w:eastAsia="仿宋" w:hAnsi="Times New Roman" w:cs="Times New Roman"/>
          <w:noProof/>
          <w:color w:val="000000" w:themeColor="text1"/>
          <w:kern w:val="0"/>
          <w:sz w:val="24"/>
        </w:rPr>
        <w:t>with</w:t>
      </w:r>
      <w:r w:rsidRPr="00E86882">
        <w:rPr>
          <w:rFonts w:ascii="Times New Roman" w:eastAsia="仿宋" w:hAnsi="Times New Roman" w:cs="Times New Roman"/>
          <w:noProof/>
          <w:color w:val="000000" w:themeColor="text1"/>
          <w:kern w:val="0"/>
          <w:sz w:val="24"/>
        </w:rPr>
        <w:t>in host countries</w:t>
      </w:r>
      <w:r>
        <w:rPr>
          <w:rFonts w:ascii="Times New Roman" w:eastAsia="仿宋" w:hAnsi="Times New Roman" w:cs="Times New Roman"/>
          <w:noProof/>
          <w:color w:val="000000" w:themeColor="text1"/>
          <w:kern w:val="0"/>
          <w:sz w:val="24"/>
        </w:rPr>
        <w:t>. They should also</w:t>
      </w:r>
      <w:r w:rsidRPr="001D6FCF">
        <w:rPr>
          <w:rFonts w:ascii="Times New Roman" w:eastAsia="仿宋" w:hAnsi="Times New Roman" w:cs="Times New Roman"/>
          <w:noProof/>
          <w:color w:val="000000" w:themeColor="text1"/>
          <w:kern w:val="0"/>
          <w:sz w:val="24"/>
        </w:rPr>
        <w:t xml:space="preserve"> urge their partners to improve environmental performance.  </w:t>
      </w:r>
    </w:p>
    <w:p w14:paraId="7B7F2F3B" w14:textId="77777777" w:rsidR="00CF0AC1" w:rsidRPr="00E86882" w:rsidRDefault="00CF0AC1" w:rsidP="00CF0AC1">
      <w:pPr>
        <w:adjustRightInd w:val="0"/>
        <w:snapToGrid w:val="0"/>
        <w:rPr>
          <w:rFonts w:ascii="Times New Roman" w:eastAsia="仿宋" w:hAnsi="Times New Roman" w:cs="Times New Roman"/>
          <w:sz w:val="24"/>
        </w:rPr>
      </w:pPr>
    </w:p>
    <w:p w14:paraId="5943ED8F" w14:textId="367BF97C" w:rsidR="00CF0AC1" w:rsidRPr="00E86882" w:rsidRDefault="00CF0AC1" w:rsidP="00CF0AC1">
      <w:pPr>
        <w:pStyle w:val="af1"/>
        <w:numPr>
          <w:ilvl w:val="0"/>
          <w:numId w:val="2"/>
        </w:numPr>
        <w:adjustRightInd w:val="0"/>
        <w:snapToGrid w:val="0"/>
        <w:ind w:firstLineChars="0"/>
        <w:rPr>
          <w:rFonts w:ascii="Times New Roman" w:eastAsia="仿宋" w:hAnsi="Times New Roman" w:cs="Times New Roman"/>
          <w:sz w:val="24"/>
        </w:rPr>
      </w:pPr>
      <w:r>
        <w:rPr>
          <w:rFonts w:ascii="Times New Roman" w:eastAsia="仿宋" w:hAnsi="Times New Roman" w:cs="Times New Roman"/>
          <w:b/>
          <w:bCs/>
          <w:sz w:val="24"/>
        </w:rPr>
        <w:t xml:space="preserve">Entities engaged in overseas investment should </w:t>
      </w:r>
      <w:r w:rsidRPr="00E86882">
        <w:rPr>
          <w:rFonts w:ascii="Times New Roman" w:eastAsia="仿宋" w:hAnsi="Times New Roman" w:cs="Times New Roman"/>
          <w:b/>
          <w:bCs/>
          <w:sz w:val="24"/>
        </w:rPr>
        <w:t xml:space="preserve">understand </w:t>
      </w:r>
      <w:r>
        <w:rPr>
          <w:rFonts w:ascii="Times New Roman" w:eastAsia="仿宋" w:hAnsi="Times New Roman" w:cs="Times New Roman"/>
          <w:b/>
          <w:bCs/>
          <w:sz w:val="24"/>
        </w:rPr>
        <w:t xml:space="preserve">the </w:t>
      </w:r>
      <w:r w:rsidRPr="00E86882">
        <w:rPr>
          <w:rFonts w:ascii="Times New Roman" w:eastAsia="仿宋" w:hAnsi="Times New Roman" w:cs="Times New Roman"/>
          <w:b/>
          <w:bCs/>
          <w:sz w:val="24"/>
        </w:rPr>
        <w:t xml:space="preserve">environmental laws, regulations and standards for the specific sectors </w:t>
      </w:r>
      <w:r>
        <w:rPr>
          <w:rFonts w:ascii="Times New Roman" w:eastAsia="仿宋" w:hAnsi="Times New Roman" w:cs="Times New Roman"/>
          <w:b/>
          <w:bCs/>
          <w:sz w:val="24"/>
        </w:rPr>
        <w:t>of</w:t>
      </w:r>
      <w:r w:rsidRPr="00E86882">
        <w:rPr>
          <w:rFonts w:ascii="Times New Roman" w:eastAsia="仿宋" w:hAnsi="Times New Roman" w:cs="Times New Roman"/>
          <w:b/>
          <w:bCs/>
          <w:sz w:val="24"/>
        </w:rPr>
        <w:t xml:space="preserve"> their projects, as well as the sector-specific environmental risks and mitigation approaches. </w:t>
      </w:r>
      <w:r w:rsidRPr="00E86882">
        <w:rPr>
          <w:rFonts w:ascii="Times New Roman" w:eastAsia="仿宋" w:hAnsi="Times New Roman" w:cs="Times New Roman"/>
          <w:noProof/>
          <w:color w:val="262626"/>
          <w:kern w:val="0"/>
          <w:sz w:val="24"/>
        </w:rPr>
        <w:t xml:space="preserve">Financial institutions and enterprises are encouraged to fully understand relevant environmental standards </w:t>
      </w:r>
      <w:r>
        <w:rPr>
          <w:rFonts w:ascii="Times New Roman" w:eastAsia="仿宋" w:hAnsi="Times New Roman" w:cs="Times New Roman"/>
          <w:noProof/>
          <w:color w:val="262626"/>
          <w:kern w:val="0"/>
          <w:sz w:val="24"/>
        </w:rPr>
        <w:t xml:space="preserve">both </w:t>
      </w:r>
      <w:r w:rsidRPr="00E86882">
        <w:rPr>
          <w:rFonts w:ascii="Times New Roman" w:eastAsia="仿宋" w:hAnsi="Times New Roman" w:cs="Times New Roman"/>
          <w:noProof/>
          <w:color w:val="262626"/>
          <w:kern w:val="0"/>
          <w:sz w:val="24"/>
        </w:rPr>
        <w:t>in China</w:t>
      </w:r>
      <w:r>
        <w:rPr>
          <w:rFonts w:ascii="Times New Roman" w:eastAsia="仿宋" w:hAnsi="Times New Roman" w:cs="Times New Roman"/>
          <w:noProof/>
          <w:color w:val="262626"/>
          <w:kern w:val="0"/>
          <w:sz w:val="24"/>
        </w:rPr>
        <w:t xml:space="preserve"> and in </w:t>
      </w:r>
      <w:r w:rsidRPr="00E86882">
        <w:rPr>
          <w:rFonts w:ascii="Times New Roman" w:eastAsia="仿宋" w:hAnsi="Times New Roman" w:cs="Times New Roman"/>
          <w:noProof/>
          <w:color w:val="262626"/>
          <w:kern w:val="0"/>
          <w:sz w:val="24"/>
        </w:rPr>
        <w:t>host countries</w:t>
      </w:r>
      <w:r>
        <w:rPr>
          <w:rFonts w:ascii="Times New Roman" w:eastAsia="仿宋" w:hAnsi="Times New Roman" w:cs="Times New Roman"/>
          <w:noProof/>
          <w:color w:val="262626"/>
          <w:kern w:val="0"/>
          <w:sz w:val="24"/>
        </w:rPr>
        <w:t>, as well as the</w:t>
      </w:r>
      <w:r w:rsidRPr="00E86882">
        <w:rPr>
          <w:rFonts w:ascii="Times New Roman" w:eastAsia="仿宋" w:hAnsi="Times New Roman" w:cs="Times New Roman"/>
          <w:noProof/>
          <w:color w:val="262626"/>
          <w:kern w:val="0"/>
          <w:sz w:val="24"/>
        </w:rPr>
        <w:t xml:space="preserve"> prevailing international standards</w:t>
      </w:r>
      <w:r>
        <w:rPr>
          <w:rFonts w:ascii="Times New Roman" w:eastAsia="仿宋" w:hAnsi="Times New Roman" w:cs="Times New Roman"/>
          <w:noProof/>
          <w:color w:val="262626"/>
          <w:kern w:val="0"/>
          <w:sz w:val="24"/>
        </w:rPr>
        <w:t>,</w:t>
      </w:r>
      <w:r w:rsidRPr="00E86882">
        <w:rPr>
          <w:rFonts w:ascii="Times New Roman" w:eastAsia="仿宋" w:hAnsi="Times New Roman" w:cs="Times New Roman"/>
          <w:noProof/>
          <w:color w:val="262626"/>
          <w:kern w:val="0"/>
          <w:sz w:val="24"/>
        </w:rPr>
        <w:t xml:space="preserve"> and adopt the highest standard where feasible</w:t>
      </w:r>
      <w:r>
        <w:rPr>
          <w:rFonts w:ascii="Times New Roman" w:eastAsia="仿宋" w:hAnsi="Times New Roman" w:cs="Times New Roman"/>
          <w:noProof/>
          <w:color w:val="262626"/>
          <w:kern w:val="0"/>
          <w:sz w:val="24"/>
        </w:rPr>
        <w:t>. They should</w:t>
      </w:r>
      <w:r w:rsidRPr="00E86882">
        <w:rPr>
          <w:rFonts w:ascii="Times New Roman" w:eastAsia="仿宋" w:hAnsi="Times New Roman" w:cs="Times New Roman"/>
          <w:noProof/>
          <w:color w:val="262626"/>
          <w:kern w:val="0"/>
          <w:sz w:val="24"/>
        </w:rPr>
        <w:t xml:space="preserve"> conduct in-depth environmental due diligence, </w:t>
      </w:r>
      <w:r>
        <w:rPr>
          <w:rFonts w:ascii="Times New Roman" w:eastAsia="仿宋" w:hAnsi="Times New Roman" w:cs="Times New Roman"/>
          <w:noProof/>
          <w:color w:val="262626"/>
          <w:kern w:val="0"/>
          <w:sz w:val="24"/>
        </w:rPr>
        <w:t>and</w:t>
      </w:r>
      <w:r w:rsidRPr="00E86882">
        <w:rPr>
          <w:rFonts w:ascii="Times New Roman" w:eastAsia="仿宋" w:hAnsi="Times New Roman" w:cs="Times New Roman"/>
          <w:noProof/>
          <w:color w:val="262626"/>
          <w:kern w:val="0"/>
          <w:sz w:val="24"/>
        </w:rPr>
        <w:t xml:space="preserve"> </w:t>
      </w:r>
      <w:r>
        <w:rPr>
          <w:rFonts w:ascii="Times New Roman" w:eastAsia="仿宋" w:hAnsi="Times New Roman" w:cs="Times New Roman"/>
          <w:noProof/>
          <w:color w:val="262626"/>
          <w:kern w:val="0"/>
          <w:sz w:val="24"/>
        </w:rPr>
        <w:t xml:space="preserve">maintain a high level of vigilance for </w:t>
      </w:r>
      <w:r w:rsidRPr="001D6FCF">
        <w:rPr>
          <w:rFonts w:ascii="Times New Roman" w:eastAsia="仿宋" w:hAnsi="Times New Roman" w:cs="Times New Roman"/>
          <w:noProof/>
          <w:color w:val="262626"/>
          <w:kern w:val="0"/>
          <w:sz w:val="24"/>
        </w:rPr>
        <w:t>potential environmental impact</w:t>
      </w:r>
      <w:r>
        <w:rPr>
          <w:rFonts w:ascii="Times New Roman" w:eastAsia="仿宋" w:hAnsi="Times New Roman" w:cs="Times New Roman"/>
          <w:noProof/>
          <w:color w:val="262626"/>
          <w:kern w:val="0"/>
          <w:sz w:val="24"/>
        </w:rPr>
        <w:t>s</w:t>
      </w:r>
      <w:r w:rsidRPr="001D6FCF">
        <w:rPr>
          <w:rFonts w:ascii="Times New Roman" w:eastAsia="仿宋" w:hAnsi="Times New Roman" w:cs="Times New Roman"/>
          <w:noProof/>
          <w:color w:val="262626"/>
          <w:kern w:val="0"/>
          <w:sz w:val="24"/>
        </w:rPr>
        <w:t xml:space="preserve"> from </w:t>
      </w:r>
      <w:r>
        <w:rPr>
          <w:rFonts w:ascii="Times New Roman" w:eastAsia="仿宋" w:hAnsi="Times New Roman" w:cs="Times New Roman"/>
          <w:noProof/>
          <w:color w:val="262626"/>
          <w:kern w:val="0"/>
          <w:sz w:val="24"/>
        </w:rPr>
        <w:t xml:space="preserve">industries such as </w:t>
      </w:r>
      <w:r w:rsidRPr="001D6FCF">
        <w:rPr>
          <w:rFonts w:ascii="Times New Roman" w:eastAsia="仿宋" w:hAnsi="Times New Roman" w:cs="Times New Roman"/>
          <w:noProof/>
          <w:color w:val="262626"/>
          <w:kern w:val="0"/>
          <w:sz w:val="24"/>
        </w:rPr>
        <w:t xml:space="preserve">mining, </w:t>
      </w:r>
      <w:r w:rsidR="008D2BCA">
        <w:rPr>
          <w:rFonts w:ascii="Times New Roman" w:eastAsia="仿宋" w:hAnsi="Times New Roman" w:cs="Times New Roman"/>
          <w:noProof/>
          <w:color w:val="262626"/>
          <w:kern w:val="0"/>
          <w:sz w:val="24"/>
        </w:rPr>
        <w:t>coal-fired</w:t>
      </w:r>
      <w:r w:rsidR="008D2BCA" w:rsidRPr="001D6FCF">
        <w:rPr>
          <w:rFonts w:ascii="Times New Roman" w:eastAsia="仿宋" w:hAnsi="Times New Roman" w:cs="Times New Roman"/>
          <w:noProof/>
          <w:color w:val="262626"/>
          <w:kern w:val="0"/>
          <w:sz w:val="24"/>
        </w:rPr>
        <w:t xml:space="preserve"> </w:t>
      </w:r>
      <w:r w:rsidRPr="001D6FCF">
        <w:rPr>
          <w:rFonts w:ascii="Times New Roman" w:eastAsia="仿宋" w:hAnsi="Times New Roman" w:cs="Times New Roman"/>
          <w:noProof/>
          <w:color w:val="262626"/>
          <w:kern w:val="0"/>
          <w:sz w:val="24"/>
        </w:rPr>
        <w:t>power, infrastructure, steel, cement, building materials, chemical</w:t>
      </w:r>
      <w:r>
        <w:rPr>
          <w:rFonts w:ascii="Times New Roman" w:eastAsia="仿宋" w:hAnsi="Times New Roman" w:cs="Times New Roman"/>
          <w:noProof/>
          <w:color w:val="262626"/>
          <w:kern w:val="0"/>
          <w:sz w:val="24"/>
        </w:rPr>
        <w:t>s</w:t>
      </w:r>
      <w:r w:rsidRPr="001D6FCF">
        <w:rPr>
          <w:rFonts w:ascii="Times New Roman" w:eastAsia="仿宋" w:hAnsi="Times New Roman" w:cs="Times New Roman"/>
          <w:noProof/>
          <w:color w:val="262626"/>
          <w:kern w:val="0"/>
          <w:sz w:val="24"/>
        </w:rPr>
        <w:t xml:space="preserve">, </w:t>
      </w:r>
      <w:r>
        <w:rPr>
          <w:rFonts w:ascii="Times New Roman" w:eastAsia="仿宋" w:hAnsi="Times New Roman" w:cs="Times New Roman"/>
          <w:noProof/>
          <w:color w:val="262626"/>
          <w:kern w:val="0"/>
          <w:sz w:val="24"/>
        </w:rPr>
        <w:t xml:space="preserve">and </w:t>
      </w:r>
      <w:r w:rsidRPr="001D6FCF">
        <w:rPr>
          <w:rFonts w:ascii="Times New Roman" w:eastAsia="仿宋" w:hAnsi="Times New Roman" w:cs="Times New Roman"/>
          <w:noProof/>
          <w:color w:val="262626"/>
          <w:kern w:val="0"/>
          <w:sz w:val="24"/>
        </w:rPr>
        <w:t>textile and dy</w:t>
      </w:r>
      <w:r>
        <w:rPr>
          <w:rFonts w:ascii="Times New Roman" w:eastAsia="仿宋" w:hAnsi="Times New Roman" w:cs="Times New Roman"/>
          <w:noProof/>
          <w:color w:val="262626"/>
          <w:kern w:val="0"/>
          <w:sz w:val="24"/>
        </w:rPr>
        <w:t>e</w:t>
      </w:r>
      <w:r w:rsidRPr="001D6FCF">
        <w:rPr>
          <w:rFonts w:ascii="Times New Roman" w:eastAsia="仿宋" w:hAnsi="Times New Roman" w:cs="Times New Roman"/>
          <w:noProof/>
          <w:color w:val="262626"/>
          <w:kern w:val="0"/>
          <w:sz w:val="24"/>
        </w:rPr>
        <w:t>ing</w:t>
      </w:r>
      <w:r>
        <w:rPr>
          <w:rFonts w:ascii="Times New Roman" w:eastAsia="仿宋" w:hAnsi="Times New Roman" w:cs="Times New Roman"/>
          <w:noProof/>
          <w:color w:val="262626"/>
          <w:kern w:val="0"/>
          <w:sz w:val="24"/>
        </w:rPr>
        <w:t>. In addition, they should</w:t>
      </w:r>
      <w:r w:rsidRPr="001D6FCF">
        <w:rPr>
          <w:rFonts w:ascii="Times New Roman" w:eastAsia="仿宋" w:hAnsi="Times New Roman" w:cs="Times New Roman"/>
          <w:noProof/>
          <w:color w:val="262626"/>
          <w:kern w:val="0"/>
          <w:sz w:val="24"/>
        </w:rPr>
        <w:t xml:space="preserve"> use environmental risk analysis tools to fully identify and assess </w:t>
      </w:r>
      <w:r w:rsidRPr="00FD50E0">
        <w:rPr>
          <w:rFonts w:ascii="Times New Roman" w:eastAsia="仿宋" w:hAnsi="Times New Roman" w:cs="Times New Roman"/>
          <w:noProof/>
          <w:color w:val="262626"/>
          <w:kern w:val="0"/>
          <w:sz w:val="24"/>
        </w:rPr>
        <w:t>potent</w:t>
      </w:r>
      <w:r>
        <w:rPr>
          <w:rFonts w:ascii="Times New Roman" w:eastAsia="仿宋" w:hAnsi="Times New Roman" w:cs="Times New Roman"/>
          <w:noProof/>
          <w:color w:val="262626"/>
          <w:kern w:val="0"/>
          <w:sz w:val="24"/>
        </w:rPr>
        <w:t>ia</w:t>
      </w:r>
      <w:r w:rsidRPr="00FD50E0">
        <w:rPr>
          <w:rFonts w:ascii="Times New Roman" w:eastAsia="仿宋" w:hAnsi="Times New Roman" w:cs="Times New Roman"/>
          <w:noProof/>
          <w:color w:val="262626"/>
          <w:kern w:val="0"/>
          <w:sz w:val="24"/>
        </w:rPr>
        <w:t xml:space="preserve">l </w:t>
      </w:r>
      <w:r w:rsidRPr="00A75D8D">
        <w:rPr>
          <w:rFonts w:ascii="Times New Roman" w:eastAsia="仿宋" w:hAnsi="Times New Roman" w:cs="Times New Roman"/>
          <w:noProof/>
          <w:color w:val="262626"/>
          <w:kern w:val="0"/>
          <w:sz w:val="24"/>
        </w:rPr>
        <w:t>impact</w:t>
      </w:r>
      <w:r>
        <w:rPr>
          <w:rFonts w:ascii="Times New Roman" w:eastAsia="仿宋" w:hAnsi="Times New Roman" w:cs="Times New Roman"/>
          <w:noProof/>
          <w:color w:val="262626"/>
          <w:kern w:val="0"/>
          <w:sz w:val="24"/>
        </w:rPr>
        <w:t>s</w:t>
      </w:r>
      <w:r w:rsidRPr="00A75D8D">
        <w:rPr>
          <w:rFonts w:ascii="Times New Roman" w:eastAsia="仿宋" w:hAnsi="Times New Roman" w:cs="Times New Roman"/>
          <w:noProof/>
          <w:color w:val="262626"/>
          <w:kern w:val="0"/>
          <w:sz w:val="24"/>
        </w:rPr>
        <w:t xml:space="preserve"> on air</w:t>
      </w:r>
      <w:r w:rsidRPr="00A7475D">
        <w:rPr>
          <w:rFonts w:ascii="Times New Roman" w:eastAsia="仿宋" w:hAnsi="Times New Roman" w:cs="Times New Roman"/>
          <w:noProof/>
          <w:color w:val="262626"/>
          <w:kern w:val="0"/>
          <w:sz w:val="24"/>
        </w:rPr>
        <w:t>, water, soil and forest</w:t>
      </w:r>
      <w:r w:rsidRPr="00E86882">
        <w:rPr>
          <w:rFonts w:ascii="Times New Roman" w:eastAsia="仿宋" w:hAnsi="Times New Roman" w:cs="Times New Roman"/>
          <w:noProof/>
          <w:color w:val="262626"/>
          <w:kern w:val="0"/>
          <w:sz w:val="24"/>
        </w:rPr>
        <w:t>ry</w:t>
      </w:r>
      <w:r>
        <w:rPr>
          <w:rFonts w:ascii="Times New Roman" w:eastAsia="仿宋" w:hAnsi="Times New Roman" w:cs="Times New Roman"/>
          <w:noProof/>
          <w:color w:val="262626"/>
          <w:kern w:val="0"/>
          <w:sz w:val="24"/>
        </w:rPr>
        <w:t>,</w:t>
      </w:r>
      <w:r w:rsidRPr="00E86882">
        <w:rPr>
          <w:rFonts w:ascii="Times New Roman" w:eastAsia="仿宋" w:hAnsi="Times New Roman" w:cs="Times New Roman"/>
          <w:noProof/>
          <w:color w:val="262626"/>
          <w:kern w:val="0"/>
          <w:sz w:val="24"/>
        </w:rPr>
        <w:t xml:space="preserve"> and </w:t>
      </w:r>
      <w:r>
        <w:rPr>
          <w:rFonts w:ascii="Times New Roman" w:eastAsia="仿宋" w:hAnsi="Times New Roman" w:cs="Times New Roman"/>
          <w:noProof/>
          <w:color w:val="262626"/>
          <w:kern w:val="0"/>
          <w:sz w:val="24"/>
        </w:rPr>
        <w:t xml:space="preserve">take steps to </w:t>
      </w:r>
      <w:r w:rsidRPr="00E86882">
        <w:rPr>
          <w:rFonts w:ascii="Times New Roman" w:eastAsia="仿宋" w:hAnsi="Times New Roman" w:cs="Times New Roman"/>
          <w:noProof/>
          <w:color w:val="262626"/>
          <w:kern w:val="0"/>
          <w:sz w:val="24"/>
        </w:rPr>
        <w:t>effectively manage such risks.</w:t>
      </w:r>
      <w:r w:rsidRPr="00E86882">
        <w:rPr>
          <w:rFonts w:ascii="Times New Roman" w:eastAsia="仿宋" w:hAnsi="Times New Roman" w:cs="Times New Roman"/>
          <w:sz w:val="24"/>
        </w:rPr>
        <w:t xml:space="preserve"> </w:t>
      </w:r>
    </w:p>
    <w:p w14:paraId="1DFD5BFF" w14:textId="77777777" w:rsidR="00CF0AC1" w:rsidRPr="00E86882" w:rsidRDefault="00CF0AC1" w:rsidP="00CF0AC1">
      <w:pPr>
        <w:adjustRightInd w:val="0"/>
        <w:snapToGrid w:val="0"/>
        <w:rPr>
          <w:rFonts w:ascii="Times New Roman" w:eastAsia="仿宋" w:hAnsi="Times New Roman" w:cs="Times New Roman"/>
          <w:sz w:val="24"/>
        </w:rPr>
      </w:pPr>
    </w:p>
    <w:p w14:paraId="1BBEFF56" w14:textId="3277C0CF" w:rsidR="00CF0AC1" w:rsidRPr="00E86882" w:rsidRDefault="00CF0AC1" w:rsidP="00CF0AC1">
      <w:pPr>
        <w:pStyle w:val="af1"/>
        <w:numPr>
          <w:ilvl w:val="0"/>
          <w:numId w:val="2"/>
        </w:numPr>
        <w:adjustRightInd w:val="0"/>
        <w:snapToGrid w:val="0"/>
        <w:ind w:firstLineChars="0"/>
        <w:rPr>
          <w:rFonts w:ascii="Times New Roman" w:eastAsia="仿宋" w:hAnsi="Times New Roman" w:cs="Times New Roman"/>
          <w:color w:val="191919"/>
          <w:sz w:val="24"/>
        </w:rPr>
      </w:pPr>
      <w:r w:rsidRPr="00CD787E">
        <w:rPr>
          <w:rFonts w:ascii="Times New Roman" w:eastAsia="仿宋" w:hAnsi="Times New Roman" w:cs="Times New Roman"/>
          <w:b/>
          <w:bCs/>
          <w:noProof/>
          <w:color w:val="191919"/>
          <w:sz w:val="24"/>
        </w:rPr>
        <w:t xml:space="preserve">In making overseas investments, banks should refer to relevant international sustainability standards, and institutional investors </w:t>
      </w:r>
      <w:r w:rsidRPr="00CD787E">
        <w:rPr>
          <w:rFonts w:ascii="Times New Roman" w:eastAsia="仿宋" w:hAnsi="Times New Roman" w:cs="Times New Roman"/>
          <w:b/>
          <w:bCs/>
          <w:noProof/>
          <w:color w:val="191919"/>
          <w:sz w:val="24"/>
        </w:rPr>
        <w:lastRenderedPageBreak/>
        <w:t>should refer to the UN Principles for Responsible Investment.</w:t>
      </w:r>
      <w:r w:rsidRPr="00217E2F">
        <w:rPr>
          <w:rFonts w:ascii="Times New Roman" w:eastAsia="仿宋" w:hAnsi="Times New Roman" w:cs="Times New Roman"/>
          <w:bCs/>
          <w:noProof/>
          <w:color w:val="191919"/>
          <w:sz w:val="24"/>
        </w:rPr>
        <w:t xml:space="preserve"> These institutions should take full account of ESG (environmental, social and governance) factors during the investment decision-making process, as well as during project implementation. They will also need to establish a sound internal process for environmental risk management.</w:t>
      </w:r>
      <w:r w:rsidRPr="00E86882">
        <w:rPr>
          <w:rFonts w:ascii="Times New Roman" w:eastAsia="PMingLiU" w:hAnsi="Times New Roman" w:cs="Times New Roman"/>
          <w:b/>
          <w:bCs/>
          <w:color w:val="191919"/>
          <w:sz w:val="24"/>
          <w:lang w:eastAsia="zh-TW"/>
        </w:rPr>
        <w:t xml:space="preserve"> </w:t>
      </w:r>
      <w:r>
        <w:rPr>
          <w:rFonts w:ascii="Times New Roman" w:eastAsia="仿宋" w:hAnsi="Times New Roman" w:cs="Times New Roman"/>
          <w:noProof/>
          <w:color w:val="191919"/>
          <w:sz w:val="24"/>
        </w:rPr>
        <w:t xml:space="preserve">This calls for </w:t>
      </w:r>
      <w:r w:rsidRPr="00E86882">
        <w:rPr>
          <w:rFonts w:ascii="Times New Roman" w:eastAsia="仿宋" w:hAnsi="Times New Roman" w:cs="Times New Roman"/>
          <w:noProof/>
          <w:color w:val="191919"/>
          <w:sz w:val="24"/>
        </w:rPr>
        <w:t>categoriz</w:t>
      </w:r>
      <w:r>
        <w:rPr>
          <w:rFonts w:ascii="Times New Roman" w:eastAsia="仿宋" w:hAnsi="Times New Roman" w:cs="Times New Roman"/>
          <w:noProof/>
          <w:color w:val="191919"/>
          <w:sz w:val="24"/>
        </w:rPr>
        <w:t>ing</w:t>
      </w:r>
      <w:r w:rsidRPr="00E86882">
        <w:rPr>
          <w:rFonts w:ascii="Times New Roman" w:eastAsia="仿宋" w:hAnsi="Times New Roman" w:cs="Times New Roman"/>
          <w:noProof/>
          <w:color w:val="191919"/>
          <w:sz w:val="24"/>
        </w:rPr>
        <w:t xml:space="preserve"> and manag</w:t>
      </w:r>
      <w:r>
        <w:rPr>
          <w:rFonts w:ascii="Times New Roman" w:eastAsia="仿宋" w:hAnsi="Times New Roman" w:cs="Times New Roman"/>
          <w:noProof/>
          <w:color w:val="191919"/>
          <w:sz w:val="24"/>
        </w:rPr>
        <w:t xml:space="preserve">ing </w:t>
      </w:r>
      <w:r w:rsidRPr="00E86882">
        <w:rPr>
          <w:rFonts w:ascii="Times New Roman" w:eastAsia="仿宋" w:hAnsi="Times New Roman" w:cs="Times New Roman"/>
          <w:noProof/>
          <w:color w:val="191919"/>
          <w:sz w:val="24"/>
        </w:rPr>
        <w:t xml:space="preserve">environmental risks according to </w:t>
      </w:r>
      <w:r>
        <w:rPr>
          <w:rFonts w:ascii="Times New Roman" w:eastAsia="仿宋" w:hAnsi="Times New Roman" w:cs="Times New Roman"/>
          <w:noProof/>
          <w:color w:val="191919"/>
          <w:sz w:val="24"/>
        </w:rPr>
        <w:t xml:space="preserve">appropriate </w:t>
      </w:r>
      <w:r w:rsidRPr="00E86882">
        <w:rPr>
          <w:rFonts w:ascii="Times New Roman" w:eastAsia="仿宋" w:hAnsi="Times New Roman" w:cs="Times New Roman"/>
          <w:noProof/>
          <w:color w:val="191919"/>
          <w:sz w:val="24"/>
        </w:rPr>
        <w:t>risk levels, and conduct</w:t>
      </w:r>
      <w:r>
        <w:rPr>
          <w:rFonts w:ascii="Times New Roman" w:eastAsia="仿宋" w:hAnsi="Times New Roman" w:cs="Times New Roman"/>
          <w:noProof/>
          <w:color w:val="191919"/>
          <w:sz w:val="24"/>
        </w:rPr>
        <w:t>ing</w:t>
      </w:r>
      <w:r w:rsidRPr="00E86882">
        <w:rPr>
          <w:rFonts w:ascii="Times New Roman" w:eastAsia="仿宋" w:hAnsi="Times New Roman" w:cs="Times New Roman"/>
          <w:noProof/>
          <w:color w:val="191919"/>
          <w:sz w:val="24"/>
        </w:rPr>
        <w:t xml:space="preserve"> environmental and social due diligence </w:t>
      </w:r>
      <w:r>
        <w:rPr>
          <w:rFonts w:ascii="Times New Roman" w:eastAsia="仿宋" w:hAnsi="Times New Roman" w:cs="Times New Roman"/>
          <w:noProof/>
          <w:color w:val="191919"/>
          <w:sz w:val="24"/>
        </w:rPr>
        <w:t xml:space="preserve">needed </w:t>
      </w:r>
      <w:r w:rsidRPr="00E86882">
        <w:rPr>
          <w:rFonts w:ascii="Times New Roman" w:eastAsia="仿宋" w:hAnsi="Times New Roman" w:cs="Times New Roman"/>
          <w:noProof/>
          <w:color w:val="191919"/>
          <w:sz w:val="24"/>
        </w:rPr>
        <w:t>to support credit and investment decision</w:t>
      </w:r>
      <w:r>
        <w:rPr>
          <w:rFonts w:ascii="Times New Roman" w:eastAsia="仿宋" w:hAnsi="Times New Roman" w:cs="Times New Roman"/>
          <w:noProof/>
          <w:color w:val="191919"/>
          <w:sz w:val="24"/>
        </w:rPr>
        <w:t>-</w:t>
      </w:r>
      <w:r w:rsidRPr="00E86882">
        <w:rPr>
          <w:rFonts w:ascii="Times New Roman" w:eastAsia="仿宋" w:hAnsi="Times New Roman" w:cs="Times New Roman"/>
          <w:noProof/>
          <w:color w:val="191919"/>
          <w:sz w:val="24"/>
        </w:rPr>
        <w:t>making</w:t>
      </w:r>
      <w:r>
        <w:rPr>
          <w:rFonts w:ascii="Times New Roman" w:eastAsia="仿宋" w:hAnsi="Times New Roman" w:cs="Times New Roman"/>
          <w:noProof/>
          <w:color w:val="191919"/>
          <w:sz w:val="24"/>
        </w:rPr>
        <w:t>.</w:t>
      </w:r>
      <w:r w:rsidRPr="00E86882">
        <w:rPr>
          <w:rFonts w:ascii="Times New Roman" w:eastAsia="仿宋" w:hAnsi="Times New Roman" w:cs="Times New Roman"/>
          <w:noProof/>
          <w:color w:val="191919"/>
          <w:sz w:val="24"/>
        </w:rPr>
        <w:t xml:space="preserve"> </w:t>
      </w:r>
      <w:r>
        <w:rPr>
          <w:rFonts w:ascii="Times New Roman" w:eastAsia="仿宋" w:hAnsi="Times New Roman" w:cs="Times New Roman"/>
          <w:noProof/>
          <w:color w:val="191919"/>
          <w:sz w:val="24"/>
        </w:rPr>
        <w:t xml:space="preserve">They should also </w:t>
      </w:r>
      <w:r w:rsidRPr="00E86882">
        <w:rPr>
          <w:rFonts w:ascii="Times New Roman" w:eastAsia="仿宋" w:hAnsi="Times New Roman" w:cs="Times New Roman"/>
          <w:noProof/>
          <w:color w:val="191919"/>
          <w:sz w:val="24"/>
        </w:rPr>
        <w:t xml:space="preserve">jointly develop action plans with investees based on risks identified </w:t>
      </w:r>
      <w:r>
        <w:rPr>
          <w:rFonts w:ascii="Times New Roman" w:eastAsia="仿宋" w:hAnsi="Times New Roman" w:cs="Times New Roman"/>
          <w:noProof/>
          <w:color w:val="191919"/>
          <w:sz w:val="24"/>
        </w:rPr>
        <w:t>during</w:t>
      </w:r>
      <w:r w:rsidRPr="00E86882">
        <w:rPr>
          <w:rFonts w:ascii="Times New Roman" w:eastAsia="仿宋" w:hAnsi="Times New Roman" w:cs="Times New Roman"/>
          <w:noProof/>
          <w:color w:val="191919"/>
          <w:sz w:val="24"/>
        </w:rPr>
        <w:t xml:space="preserve"> due diligence</w:t>
      </w:r>
      <w:r>
        <w:rPr>
          <w:rFonts w:ascii="Times New Roman" w:eastAsia="仿宋" w:hAnsi="Times New Roman" w:cs="Times New Roman"/>
          <w:noProof/>
          <w:color w:val="191919"/>
          <w:sz w:val="24"/>
        </w:rPr>
        <w:t>,</w:t>
      </w:r>
      <w:r w:rsidRPr="00E86882">
        <w:rPr>
          <w:rFonts w:ascii="Times New Roman" w:eastAsia="仿宋" w:hAnsi="Times New Roman" w:cs="Times New Roman"/>
          <w:noProof/>
          <w:color w:val="191919"/>
          <w:sz w:val="24"/>
        </w:rPr>
        <w:t xml:space="preserve"> and continouously monitor the implementation of action plans and client environmental performance after disbursement of funding. </w:t>
      </w:r>
    </w:p>
    <w:p w14:paraId="0956347A" w14:textId="77777777" w:rsidR="00CF0AC1" w:rsidRPr="00904A29" w:rsidRDefault="00CF0AC1" w:rsidP="00CF0AC1">
      <w:pPr>
        <w:adjustRightInd w:val="0"/>
        <w:snapToGrid w:val="0"/>
        <w:rPr>
          <w:rFonts w:ascii="Times New Roman" w:eastAsia="仿宋" w:hAnsi="Times New Roman" w:cs="Times New Roman"/>
          <w:b/>
          <w:sz w:val="24"/>
        </w:rPr>
      </w:pPr>
    </w:p>
    <w:p w14:paraId="4B27E291" w14:textId="354977F1" w:rsidR="00CF0AC1" w:rsidRPr="00FD50E0" w:rsidRDefault="00CF0AC1" w:rsidP="00CF0AC1">
      <w:pPr>
        <w:pStyle w:val="af1"/>
        <w:numPr>
          <w:ilvl w:val="0"/>
          <w:numId w:val="2"/>
        </w:numPr>
        <w:adjustRightInd w:val="0"/>
        <w:snapToGrid w:val="0"/>
        <w:ind w:firstLineChars="0"/>
        <w:rPr>
          <w:rFonts w:ascii="Times New Roman" w:eastAsia="仿宋" w:hAnsi="Times New Roman" w:cs="Times New Roman"/>
          <w:sz w:val="24"/>
        </w:rPr>
      </w:pPr>
      <w:r>
        <w:rPr>
          <w:rFonts w:ascii="Times New Roman" w:eastAsia="仿宋" w:hAnsi="Times New Roman" w:cs="Times New Roman"/>
          <w:b/>
          <w:sz w:val="24"/>
        </w:rPr>
        <w:t>Entities engaged in overseas investment are encouraged to take steps to i</w:t>
      </w:r>
      <w:r w:rsidRPr="0044465E">
        <w:rPr>
          <w:rFonts w:ascii="Times New Roman" w:eastAsia="仿宋" w:hAnsi="Times New Roman" w:cs="Times New Roman"/>
          <w:b/>
          <w:sz w:val="24"/>
        </w:rPr>
        <w:t xml:space="preserve">mprove </w:t>
      </w:r>
      <w:r>
        <w:rPr>
          <w:rFonts w:ascii="Times New Roman" w:eastAsia="仿宋" w:hAnsi="Times New Roman" w:cs="Times New Roman"/>
          <w:b/>
          <w:sz w:val="24"/>
        </w:rPr>
        <w:t xml:space="preserve">the </w:t>
      </w:r>
      <w:r w:rsidRPr="0044465E">
        <w:rPr>
          <w:rFonts w:ascii="Times New Roman" w:eastAsia="仿宋" w:hAnsi="Times New Roman" w:cs="Times New Roman"/>
          <w:b/>
          <w:sz w:val="24"/>
        </w:rPr>
        <w:t>disclosure of ESG</w:t>
      </w:r>
      <w:r w:rsidRPr="001D6FCF">
        <w:rPr>
          <w:rFonts w:ascii="Times New Roman" w:eastAsia="仿宋" w:hAnsi="Times New Roman" w:cs="Times New Roman"/>
          <w:b/>
          <w:sz w:val="24"/>
        </w:rPr>
        <w:t xml:space="preserve"> information</w:t>
      </w:r>
      <w:r>
        <w:rPr>
          <w:rFonts w:ascii="Times New Roman" w:eastAsia="仿宋" w:hAnsi="Times New Roman" w:cs="Times New Roman"/>
          <w:b/>
          <w:sz w:val="24"/>
        </w:rPr>
        <w:t xml:space="preserve">. </w:t>
      </w:r>
      <w:r w:rsidRPr="00217E2F">
        <w:rPr>
          <w:rFonts w:ascii="Times New Roman" w:eastAsia="仿宋" w:hAnsi="Times New Roman" w:cs="Times New Roman"/>
          <w:sz w:val="24"/>
        </w:rPr>
        <w:t>Such steps could include actively engaging with environment</w:t>
      </w:r>
      <w:r>
        <w:rPr>
          <w:rFonts w:ascii="Times New Roman" w:eastAsia="仿宋" w:hAnsi="Times New Roman" w:cs="Times New Roman"/>
          <w:sz w:val="24"/>
        </w:rPr>
        <w:t>al</w:t>
      </w:r>
      <w:r w:rsidRPr="00217E2F">
        <w:rPr>
          <w:rFonts w:ascii="Times New Roman" w:eastAsia="仿宋" w:hAnsi="Times New Roman" w:cs="Times New Roman"/>
          <w:sz w:val="24"/>
        </w:rPr>
        <w:t xml:space="preserve"> protection </w:t>
      </w:r>
      <w:r w:rsidRPr="00217E2F">
        <w:rPr>
          <w:rFonts w:ascii="Times New Roman" w:eastAsia="仿宋" w:hAnsi="Times New Roman" w:cs="Times New Roman"/>
          <w:noProof/>
          <w:sz w:val="24"/>
        </w:rPr>
        <w:t>organizations, and using information disclosure as a tool for improving project review and internal management procedures</w:t>
      </w:r>
      <w:r w:rsidRPr="00217E2F">
        <w:rPr>
          <w:rFonts w:ascii="Times New Roman" w:eastAsia="仿宋" w:hAnsi="Times New Roman" w:cs="Times New Roman"/>
          <w:sz w:val="24"/>
        </w:rPr>
        <w:t>.</w:t>
      </w:r>
      <w:r w:rsidRPr="00E86882">
        <w:rPr>
          <w:rFonts w:ascii="Times New Roman" w:eastAsia="仿宋" w:hAnsi="Times New Roman" w:cs="Times New Roman"/>
          <w:sz w:val="24"/>
        </w:rPr>
        <w:t xml:space="preserve"> In </w:t>
      </w:r>
      <w:r>
        <w:rPr>
          <w:rFonts w:ascii="Times New Roman" w:eastAsia="仿宋" w:hAnsi="Times New Roman" w:cs="Times New Roman"/>
          <w:sz w:val="24"/>
        </w:rPr>
        <w:t>keeping</w:t>
      </w:r>
      <w:r w:rsidRPr="00E86882">
        <w:rPr>
          <w:rFonts w:ascii="Times New Roman" w:eastAsia="仿宋" w:hAnsi="Times New Roman" w:cs="Times New Roman"/>
          <w:sz w:val="24"/>
        </w:rPr>
        <w:t xml:space="preserve"> with relevant laws and regulations,</w:t>
      </w:r>
      <w:r w:rsidRPr="00217E2F">
        <w:rPr>
          <w:rFonts w:ascii="Times New Roman" w:eastAsia="仿宋" w:hAnsi="Times New Roman" w:cs="Times New Roman"/>
          <w:sz w:val="24"/>
        </w:rPr>
        <w:t xml:space="preserve"> </w:t>
      </w:r>
      <w:r>
        <w:rPr>
          <w:rFonts w:ascii="Times New Roman" w:eastAsia="仿宋" w:hAnsi="Times New Roman" w:cs="Times New Roman"/>
          <w:color w:val="191919"/>
          <w:sz w:val="24"/>
        </w:rPr>
        <w:t>f</w:t>
      </w:r>
      <w:r w:rsidRPr="00FD50E0">
        <w:rPr>
          <w:rFonts w:ascii="Times New Roman" w:eastAsia="仿宋" w:hAnsi="Times New Roman" w:cs="Times New Roman"/>
          <w:color w:val="191919"/>
          <w:sz w:val="24"/>
        </w:rPr>
        <w:t xml:space="preserve">inancial institutions </w:t>
      </w:r>
      <w:r>
        <w:rPr>
          <w:rFonts w:ascii="Times New Roman" w:eastAsia="仿宋" w:hAnsi="Times New Roman" w:cs="Times New Roman"/>
          <w:color w:val="191919"/>
          <w:sz w:val="24"/>
        </w:rPr>
        <w:t xml:space="preserve">are encouraged to </w:t>
      </w:r>
      <w:r w:rsidRPr="00FD50E0">
        <w:rPr>
          <w:rFonts w:ascii="Times New Roman" w:eastAsia="仿宋" w:hAnsi="Times New Roman" w:cs="Times New Roman"/>
          <w:color w:val="191919"/>
          <w:sz w:val="24"/>
        </w:rPr>
        <w:t>disclose information on proposed project profile</w:t>
      </w:r>
      <w:r>
        <w:rPr>
          <w:rFonts w:ascii="Times New Roman" w:eastAsia="仿宋" w:hAnsi="Times New Roman" w:cs="Times New Roman"/>
          <w:color w:val="191919"/>
          <w:sz w:val="24"/>
        </w:rPr>
        <w:t>s</w:t>
      </w:r>
      <w:r w:rsidRPr="00FD50E0">
        <w:rPr>
          <w:rFonts w:ascii="Times New Roman" w:eastAsia="仿宋" w:hAnsi="Times New Roman" w:cs="Times New Roman"/>
          <w:color w:val="191919"/>
          <w:sz w:val="24"/>
        </w:rPr>
        <w:t xml:space="preserve">, </w:t>
      </w:r>
      <w:r>
        <w:rPr>
          <w:rFonts w:ascii="Times New Roman" w:eastAsia="仿宋" w:hAnsi="Times New Roman" w:cs="Times New Roman"/>
          <w:color w:val="191919"/>
          <w:sz w:val="24"/>
        </w:rPr>
        <w:t xml:space="preserve">the </w:t>
      </w:r>
      <w:r w:rsidRPr="00FD50E0">
        <w:rPr>
          <w:rFonts w:ascii="Times New Roman" w:eastAsia="仿宋" w:hAnsi="Times New Roman" w:cs="Times New Roman"/>
          <w:color w:val="191919"/>
          <w:sz w:val="24"/>
        </w:rPr>
        <w:t xml:space="preserve">size of financing and </w:t>
      </w:r>
      <w:r>
        <w:rPr>
          <w:rFonts w:ascii="Times New Roman" w:eastAsia="仿宋" w:hAnsi="Times New Roman" w:cs="Times New Roman"/>
          <w:color w:val="191919"/>
          <w:sz w:val="24"/>
        </w:rPr>
        <w:t xml:space="preserve">the </w:t>
      </w:r>
      <w:r w:rsidRPr="00FD50E0">
        <w:rPr>
          <w:rFonts w:ascii="Times New Roman" w:eastAsia="仿宋" w:hAnsi="Times New Roman" w:cs="Times New Roman"/>
          <w:color w:val="191919"/>
          <w:sz w:val="24"/>
        </w:rPr>
        <w:t xml:space="preserve">environmental impact summary before the investment is made. </w:t>
      </w:r>
      <w:r>
        <w:rPr>
          <w:rFonts w:ascii="Times New Roman" w:eastAsia="仿宋" w:hAnsi="Times New Roman" w:cs="Times New Roman"/>
          <w:noProof/>
          <w:color w:val="191919"/>
          <w:sz w:val="24"/>
        </w:rPr>
        <w:t>C</w:t>
      </w:r>
      <w:r w:rsidRPr="00FD50E0">
        <w:rPr>
          <w:rFonts w:ascii="Times New Roman" w:eastAsia="仿宋" w:hAnsi="Times New Roman" w:cs="Times New Roman"/>
          <w:noProof/>
          <w:color w:val="191919"/>
          <w:sz w:val="24"/>
        </w:rPr>
        <w:t xml:space="preserve">ompanies </w:t>
      </w:r>
      <w:r>
        <w:rPr>
          <w:rFonts w:ascii="Times New Roman" w:eastAsia="仿宋" w:hAnsi="Times New Roman" w:cs="Times New Roman"/>
          <w:noProof/>
          <w:color w:val="191919"/>
          <w:sz w:val="24"/>
        </w:rPr>
        <w:t xml:space="preserve">are encouraged to </w:t>
      </w:r>
      <w:r w:rsidRPr="00FD50E0">
        <w:rPr>
          <w:rFonts w:ascii="Times New Roman" w:eastAsia="仿宋" w:hAnsi="Times New Roman" w:cs="Times New Roman"/>
          <w:noProof/>
          <w:color w:val="191919"/>
          <w:sz w:val="24"/>
        </w:rPr>
        <w:t>disclose</w:t>
      </w:r>
      <w:r w:rsidRPr="00FD50E0">
        <w:rPr>
          <w:rFonts w:ascii="Times New Roman" w:eastAsia="仿宋" w:hAnsi="Times New Roman" w:cs="Times New Roman"/>
          <w:sz w:val="24"/>
        </w:rPr>
        <w:t xml:space="preserve"> </w:t>
      </w:r>
      <w:r w:rsidRPr="00FD50E0">
        <w:rPr>
          <w:rFonts w:ascii="Times New Roman" w:eastAsia="仿宋" w:hAnsi="Times New Roman" w:cs="Times New Roman"/>
          <w:noProof/>
          <w:color w:val="191919"/>
          <w:sz w:val="24"/>
        </w:rPr>
        <w:t>environmental impact assessment reports in English</w:t>
      </w:r>
      <w:r w:rsidRPr="00FD50E0" w:rsidDel="0097796A">
        <w:rPr>
          <w:rFonts w:ascii="Times New Roman" w:eastAsia="仿宋" w:hAnsi="Times New Roman" w:cs="Times New Roman"/>
          <w:noProof/>
          <w:color w:val="191919"/>
          <w:sz w:val="24"/>
        </w:rPr>
        <w:t xml:space="preserve"> </w:t>
      </w:r>
      <w:r w:rsidRPr="00FD50E0">
        <w:rPr>
          <w:rFonts w:ascii="Times New Roman" w:eastAsia="仿宋" w:hAnsi="Times New Roman" w:cs="Times New Roman"/>
          <w:noProof/>
          <w:color w:val="191919"/>
          <w:sz w:val="24"/>
        </w:rPr>
        <w:t xml:space="preserve">or </w:t>
      </w:r>
      <w:r>
        <w:rPr>
          <w:rFonts w:ascii="Times New Roman" w:eastAsia="仿宋" w:hAnsi="Times New Roman" w:cs="Times New Roman"/>
          <w:noProof/>
          <w:color w:val="191919"/>
          <w:sz w:val="24"/>
        </w:rPr>
        <w:t xml:space="preserve">the </w:t>
      </w:r>
      <w:r w:rsidRPr="00FD50E0">
        <w:rPr>
          <w:rFonts w:ascii="Times New Roman" w:eastAsia="仿宋" w:hAnsi="Times New Roman" w:cs="Times New Roman"/>
          <w:noProof/>
          <w:color w:val="191919"/>
          <w:sz w:val="24"/>
        </w:rPr>
        <w:t xml:space="preserve">local language </w:t>
      </w:r>
      <w:r>
        <w:rPr>
          <w:rFonts w:ascii="Times New Roman" w:eastAsia="仿宋" w:hAnsi="Times New Roman" w:cs="Times New Roman"/>
          <w:noProof/>
          <w:color w:val="191919"/>
          <w:sz w:val="24"/>
        </w:rPr>
        <w:t>p</w:t>
      </w:r>
      <w:r w:rsidRPr="00FD50E0">
        <w:rPr>
          <w:rFonts w:ascii="Times New Roman" w:eastAsia="仿宋" w:hAnsi="Times New Roman" w:cs="Times New Roman"/>
          <w:noProof/>
          <w:color w:val="191919"/>
          <w:sz w:val="24"/>
        </w:rPr>
        <w:t xml:space="preserve">rior to project construction. Financial institutions and enterprises are </w:t>
      </w:r>
      <w:r>
        <w:rPr>
          <w:rFonts w:ascii="Times New Roman" w:eastAsia="仿宋" w:hAnsi="Times New Roman" w:cs="Times New Roman"/>
          <w:noProof/>
          <w:color w:val="191919"/>
          <w:sz w:val="24"/>
        </w:rPr>
        <w:t>also e</w:t>
      </w:r>
      <w:r w:rsidRPr="00FD50E0">
        <w:rPr>
          <w:rFonts w:ascii="Times New Roman" w:eastAsia="仿宋" w:hAnsi="Times New Roman" w:cs="Times New Roman"/>
          <w:noProof/>
          <w:color w:val="191919"/>
          <w:sz w:val="24"/>
        </w:rPr>
        <w:t>ncouraged to disclose ESG information annually with reference to the standard</w:t>
      </w:r>
      <w:r w:rsidR="00CC0E8C">
        <w:rPr>
          <w:rFonts w:ascii="Times New Roman" w:eastAsia="仿宋" w:hAnsi="Times New Roman" w:cs="Times New Roman" w:hint="eastAsia"/>
          <w:noProof/>
          <w:color w:val="191919"/>
          <w:sz w:val="24"/>
        </w:rPr>
        <w:t>s</w:t>
      </w:r>
      <w:r w:rsidRPr="00FD50E0">
        <w:rPr>
          <w:rFonts w:ascii="Times New Roman" w:eastAsia="仿宋" w:hAnsi="Times New Roman" w:cs="Times New Roman"/>
          <w:noProof/>
          <w:color w:val="191919"/>
          <w:sz w:val="24"/>
        </w:rPr>
        <w:t xml:space="preserve"> of the Global Reporting Initiative (GRI).</w:t>
      </w:r>
      <w:r w:rsidRPr="00A75D8D">
        <w:rPr>
          <w:rFonts w:ascii="Times New Roman" w:eastAsia="仿宋" w:hAnsi="Times New Roman" w:cs="Times New Roman"/>
          <w:color w:val="191919"/>
          <w:sz w:val="24"/>
        </w:rPr>
        <w:t xml:space="preserve"> </w:t>
      </w:r>
      <w:r>
        <w:rPr>
          <w:rFonts w:ascii="Times New Roman" w:eastAsia="仿宋" w:hAnsi="Times New Roman" w:cs="Times New Roman"/>
          <w:noProof/>
          <w:color w:val="191919"/>
          <w:sz w:val="24"/>
        </w:rPr>
        <w:t>I</w:t>
      </w:r>
      <w:r w:rsidRPr="00A75D8D">
        <w:rPr>
          <w:rFonts w:ascii="Times New Roman" w:eastAsia="仿宋" w:hAnsi="Times New Roman" w:cs="Times New Roman"/>
          <w:noProof/>
          <w:color w:val="191919"/>
          <w:sz w:val="24"/>
        </w:rPr>
        <w:t>nvestment entit</w:t>
      </w:r>
      <w:r>
        <w:rPr>
          <w:rFonts w:ascii="Times New Roman" w:eastAsia="仿宋" w:hAnsi="Times New Roman" w:cs="Times New Roman"/>
          <w:noProof/>
          <w:color w:val="191919"/>
          <w:sz w:val="24"/>
        </w:rPr>
        <w:t>ies</w:t>
      </w:r>
      <w:r w:rsidRPr="00A75D8D">
        <w:rPr>
          <w:rFonts w:ascii="Times New Roman" w:eastAsia="仿宋" w:hAnsi="Times New Roman" w:cs="Times New Roman"/>
          <w:noProof/>
          <w:color w:val="191919"/>
          <w:sz w:val="24"/>
        </w:rPr>
        <w:t xml:space="preserve"> should clarify where </w:t>
      </w:r>
      <w:r w:rsidRPr="00A75D8D">
        <w:rPr>
          <w:rFonts w:ascii="Times New Roman" w:eastAsia="仿宋" w:hAnsi="Times New Roman" w:cs="Times New Roman"/>
          <w:color w:val="191919"/>
          <w:sz w:val="24"/>
        </w:rPr>
        <w:t>the responsibility for environmental information disclosure sits</w:t>
      </w:r>
      <w:r>
        <w:rPr>
          <w:rFonts w:ascii="Times New Roman" w:eastAsia="仿宋" w:hAnsi="Times New Roman" w:cs="Times New Roman"/>
          <w:color w:val="191919"/>
          <w:sz w:val="24"/>
        </w:rPr>
        <w:t xml:space="preserve"> within their organization</w:t>
      </w:r>
      <w:r w:rsidRPr="00A75D8D">
        <w:rPr>
          <w:rFonts w:ascii="Times New Roman" w:eastAsia="仿宋" w:hAnsi="Times New Roman" w:cs="Times New Roman"/>
          <w:color w:val="191919"/>
          <w:sz w:val="24"/>
        </w:rPr>
        <w:t xml:space="preserve">. </w:t>
      </w:r>
      <w:r>
        <w:rPr>
          <w:rFonts w:ascii="Times New Roman" w:eastAsia="仿宋" w:hAnsi="Times New Roman" w:cs="Times New Roman"/>
          <w:color w:val="191919"/>
          <w:sz w:val="24"/>
        </w:rPr>
        <w:t>Material information of p</w:t>
      </w:r>
      <w:r w:rsidRPr="00A75D8D">
        <w:rPr>
          <w:rFonts w:ascii="Times New Roman" w:eastAsia="仿宋" w:hAnsi="Times New Roman" w:cs="Times New Roman"/>
          <w:color w:val="191919"/>
          <w:sz w:val="24"/>
        </w:rPr>
        <w:t>rojects that may involve major environmental and social risks should be disclosed to investors, shareholder</w:t>
      </w:r>
      <w:r>
        <w:rPr>
          <w:rFonts w:ascii="Times New Roman" w:eastAsia="仿宋" w:hAnsi="Times New Roman" w:cs="Times New Roman"/>
          <w:color w:val="191919"/>
          <w:sz w:val="24"/>
        </w:rPr>
        <w:t>s</w:t>
      </w:r>
      <w:r w:rsidRPr="00FD50E0">
        <w:rPr>
          <w:rFonts w:ascii="Times New Roman" w:eastAsia="仿宋" w:hAnsi="Times New Roman" w:cs="Times New Roman"/>
          <w:color w:val="191919"/>
          <w:sz w:val="24"/>
        </w:rPr>
        <w:t xml:space="preserve"> and regulatory agencies. Financial institutions and enterprises are </w:t>
      </w:r>
      <w:r>
        <w:rPr>
          <w:rFonts w:ascii="Times New Roman" w:eastAsia="仿宋" w:hAnsi="Times New Roman" w:cs="Times New Roman"/>
          <w:color w:val="191919"/>
          <w:sz w:val="24"/>
        </w:rPr>
        <w:t xml:space="preserve">also </w:t>
      </w:r>
      <w:r w:rsidRPr="00FD50E0">
        <w:rPr>
          <w:rFonts w:ascii="Times New Roman" w:eastAsia="仿宋" w:hAnsi="Times New Roman" w:cs="Times New Roman"/>
          <w:color w:val="191919"/>
          <w:sz w:val="24"/>
        </w:rPr>
        <w:t xml:space="preserve">encouraged to strengthen communications with key stakeholders. </w:t>
      </w:r>
    </w:p>
    <w:p w14:paraId="542BC1FF" w14:textId="77777777" w:rsidR="00CF0AC1" w:rsidRPr="00E86882" w:rsidRDefault="00CF0AC1" w:rsidP="00CF0AC1">
      <w:pPr>
        <w:adjustRightInd w:val="0"/>
        <w:snapToGrid w:val="0"/>
        <w:rPr>
          <w:rFonts w:ascii="Times New Roman" w:eastAsia="仿宋" w:hAnsi="Times New Roman" w:cs="Times New Roman"/>
          <w:color w:val="191919"/>
          <w:sz w:val="24"/>
        </w:rPr>
      </w:pPr>
    </w:p>
    <w:p w14:paraId="2DBE2E00" w14:textId="1B9D8913" w:rsidR="00CF0AC1" w:rsidRDefault="00CF0AC1" w:rsidP="00CF0AC1">
      <w:pPr>
        <w:pStyle w:val="af1"/>
        <w:numPr>
          <w:ilvl w:val="0"/>
          <w:numId w:val="2"/>
        </w:numPr>
        <w:ind w:firstLineChars="0"/>
        <w:rPr>
          <w:rFonts w:ascii="Times New Roman" w:eastAsia="仿宋" w:hAnsi="Times New Roman" w:cs="Times New Roman"/>
          <w:noProof/>
          <w:sz w:val="24"/>
        </w:rPr>
      </w:pPr>
      <w:r>
        <w:rPr>
          <w:rFonts w:ascii="Times New Roman" w:eastAsia="仿宋" w:hAnsi="Times New Roman" w:cs="Times New Roman"/>
          <w:b/>
          <w:sz w:val="24"/>
        </w:rPr>
        <w:t>Financial institutions should m</w:t>
      </w:r>
      <w:r w:rsidRPr="00E86882">
        <w:rPr>
          <w:rFonts w:ascii="Times New Roman" w:eastAsia="仿宋" w:hAnsi="Times New Roman" w:cs="Times New Roman"/>
          <w:b/>
          <w:sz w:val="24"/>
        </w:rPr>
        <w:t xml:space="preserve">ake full use of resources and support </w:t>
      </w:r>
      <w:r>
        <w:rPr>
          <w:rFonts w:ascii="Times New Roman" w:eastAsia="仿宋" w:hAnsi="Times New Roman" w:cs="Times New Roman"/>
          <w:b/>
          <w:sz w:val="24"/>
        </w:rPr>
        <w:t>available from</w:t>
      </w:r>
      <w:r w:rsidRPr="00E86882">
        <w:rPr>
          <w:rFonts w:ascii="Times New Roman" w:eastAsia="仿宋" w:hAnsi="Times New Roman" w:cs="Times New Roman"/>
          <w:b/>
          <w:sz w:val="24"/>
        </w:rPr>
        <w:t xml:space="preserve"> their headquarters, </w:t>
      </w:r>
      <w:r>
        <w:rPr>
          <w:rFonts w:ascii="Times New Roman" w:eastAsia="仿宋" w:hAnsi="Times New Roman" w:cs="Times New Roman"/>
          <w:b/>
          <w:sz w:val="24"/>
        </w:rPr>
        <w:t xml:space="preserve">as well as from </w:t>
      </w:r>
      <w:r w:rsidRPr="00E86882">
        <w:rPr>
          <w:rFonts w:ascii="Times New Roman" w:eastAsia="仿宋" w:hAnsi="Times New Roman" w:cs="Times New Roman"/>
          <w:b/>
          <w:sz w:val="24"/>
        </w:rPr>
        <w:t>interna</w:t>
      </w:r>
      <w:r>
        <w:rPr>
          <w:rFonts w:ascii="Times New Roman" w:eastAsia="仿宋" w:hAnsi="Times New Roman" w:cs="Times New Roman"/>
          <w:b/>
          <w:sz w:val="24"/>
        </w:rPr>
        <w:t>tional capital market and third-</w:t>
      </w:r>
      <w:r w:rsidRPr="00E86882">
        <w:rPr>
          <w:rFonts w:ascii="Times New Roman" w:eastAsia="仿宋" w:hAnsi="Times New Roman" w:cs="Times New Roman"/>
          <w:b/>
          <w:sz w:val="24"/>
        </w:rPr>
        <w:t>party institutions</w:t>
      </w:r>
      <w:r>
        <w:rPr>
          <w:rFonts w:ascii="Times New Roman" w:eastAsia="仿宋" w:hAnsi="Times New Roman" w:cs="Times New Roman"/>
          <w:b/>
          <w:sz w:val="24"/>
        </w:rPr>
        <w:t>, with a view to</w:t>
      </w:r>
      <w:r w:rsidRPr="00E86882">
        <w:rPr>
          <w:rFonts w:ascii="Times New Roman" w:eastAsia="仿宋" w:hAnsi="Times New Roman" w:cs="Times New Roman"/>
          <w:b/>
          <w:sz w:val="24"/>
        </w:rPr>
        <w:t xml:space="preserve"> improv</w:t>
      </w:r>
      <w:r>
        <w:rPr>
          <w:rFonts w:ascii="Times New Roman" w:eastAsia="仿宋" w:hAnsi="Times New Roman" w:cs="Times New Roman"/>
          <w:b/>
          <w:sz w:val="24"/>
        </w:rPr>
        <w:t>ing</w:t>
      </w:r>
      <w:r w:rsidRPr="00E86882">
        <w:rPr>
          <w:rFonts w:ascii="Times New Roman" w:eastAsia="仿宋" w:hAnsi="Times New Roman" w:cs="Times New Roman"/>
          <w:b/>
          <w:sz w:val="24"/>
        </w:rPr>
        <w:t xml:space="preserve"> </w:t>
      </w:r>
      <w:r>
        <w:rPr>
          <w:rFonts w:ascii="Times New Roman" w:eastAsia="仿宋" w:hAnsi="Times New Roman" w:cs="Times New Roman"/>
          <w:b/>
          <w:sz w:val="24"/>
        </w:rPr>
        <w:t xml:space="preserve">their </w:t>
      </w:r>
      <w:r w:rsidRPr="00E86882">
        <w:rPr>
          <w:rFonts w:ascii="Times New Roman" w:eastAsia="仿宋" w:hAnsi="Times New Roman" w:cs="Times New Roman"/>
          <w:b/>
          <w:sz w:val="24"/>
        </w:rPr>
        <w:t xml:space="preserve">internal procedures and capacity </w:t>
      </w:r>
      <w:r>
        <w:rPr>
          <w:rFonts w:ascii="Times New Roman" w:eastAsia="仿宋" w:hAnsi="Times New Roman" w:cs="Times New Roman"/>
          <w:b/>
          <w:sz w:val="24"/>
        </w:rPr>
        <w:t>for</w:t>
      </w:r>
      <w:r w:rsidRPr="00E86882">
        <w:rPr>
          <w:rFonts w:ascii="Times New Roman" w:eastAsia="仿宋" w:hAnsi="Times New Roman" w:cs="Times New Roman"/>
          <w:b/>
          <w:sz w:val="24"/>
        </w:rPr>
        <w:t xml:space="preserve"> environmental risk management in overseas branches.</w:t>
      </w:r>
      <w:r w:rsidRPr="00E86882">
        <w:rPr>
          <w:rFonts w:ascii="Times New Roman" w:eastAsia="PMingLiU" w:hAnsi="Times New Roman" w:cs="Times New Roman"/>
          <w:sz w:val="24"/>
          <w:lang w:eastAsia="zh-TW"/>
        </w:rPr>
        <w:t xml:space="preserve"> Financial institutions should have consistent approaches towards environmental risk management,</w:t>
      </w:r>
      <w:r w:rsidRPr="00E86882">
        <w:rPr>
          <w:rFonts w:ascii="Times New Roman" w:eastAsia="仿宋" w:hAnsi="Times New Roman" w:cs="Times New Roman"/>
          <w:sz w:val="24"/>
        </w:rPr>
        <w:t xml:space="preserve"> and clearly define</w:t>
      </w:r>
      <w:r>
        <w:rPr>
          <w:rFonts w:ascii="Times New Roman" w:eastAsia="仿宋" w:hAnsi="Times New Roman" w:cs="Times New Roman"/>
          <w:sz w:val="24"/>
        </w:rPr>
        <w:t>d</w:t>
      </w:r>
      <w:r w:rsidRPr="00E86882">
        <w:rPr>
          <w:rFonts w:ascii="Times New Roman" w:eastAsia="仿宋" w:hAnsi="Times New Roman" w:cs="Times New Roman"/>
          <w:sz w:val="24"/>
        </w:rPr>
        <w:t xml:space="preserve"> roles and responsibilities for </w:t>
      </w:r>
      <w:r>
        <w:rPr>
          <w:rFonts w:ascii="Times New Roman" w:eastAsia="仿宋" w:hAnsi="Times New Roman" w:cs="Times New Roman"/>
          <w:sz w:val="24"/>
        </w:rPr>
        <w:t xml:space="preserve">their </w:t>
      </w:r>
      <w:r w:rsidRPr="00E86882">
        <w:rPr>
          <w:rFonts w:ascii="Times New Roman" w:eastAsia="仿宋" w:hAnsi="Times New Roman" w:cs="Times New Roman"/>
          <w:sz w:val="24"/>
        </w:rPr>
        <w:t xml:space="preserve">headquarters and overseas </w:t>
      </w:r>
      <w:r w:rsidRPr="00E86882">
        <w:rPr>
          <w:rFonts w:ascii="Times New Roman" w:eastAsia="仿宋" w:hAnsi="Times New Roman" w:cs="Times New Roman"/>
          <w:noProof/>
          <w:sz w:val="24"/>
        </w:rPr>
        <w:t>branches</w:t>
      </w:r>
      <w:r w:rsidRPr="00E86882">
        <w:rPr>
          <w:rFonts w:ascii="Times New Roman" w:eastAsia="仿宋" w:hAnsi="Times New Roman" w:cs="Times New Roman"/>
          <w:sz w:val="24"/>
        </w:rPr>
        <w:t xml:space="preserve">. </w:t>
      </w:r>
      <w:r w:rsidRPr="00E86882">
        <w:rPr>
          <w:rFonts w:ascii="Times New Roman" w:eastAsia="仿宋" w:hAnsi="Times New Roman" w:cs="Times New Roman"/>
          <w:noProof/>
          <w:sz w:val="24"/>
        </w:rPr>
        <w:t xml:space="preserve">Headquarters need to guide overseas branches </w:t>
      </w:r>
      <w:r>
        <w:rPr>
          <w:rFonts w:ascii="Times New Roman" w:eastAsia="仿宋" w:hAnsi="Times New Roman" w:cs="Times New Roman"/>
          <w:noProof/>
          <w:sz w:val="24"/>
        </w:rPr>
        <w:t>in:</w:t>
      </w:r>
      <w:r w:rsidRPr="00E86882">
        <w:rPr>
          <w:rFonts w:ascii="Times New Roman" w:eastAsia="仿宋" w:hAnsi="Times New Roman" w:cs="Times New Roman"/>
          <w:noProof/>
          <w:sz w:val="24"/>
        </w:rPr>
        <w:t xml:space="preserve"> improv</w:t>
      </w:r>
      <w:r>
        <w:rPr>
          <w:rFonts w:ascii="Times New Roman" w:eastAsia="仿宋" w:hAnsi="Times New Roman" w:cs="Times New Roman"/>
          <w:noProof/>
          <w:sz w:val="24"/>
        </w:rPr>
        <w:t>ing their</w:t>
      </w:r>
      <w:r w:rsidRPr="00E86882">
        <w:rPr>
          <w:rFonts w:ascii="Times New Roman" w:eastAsia="仿宋" w:hAnsi="Times New Roman" w:cs="Times New Roman"/>
          <w:noProof/>
          <w:sz w:val="24"/>
        </w:rPr>
        <w:t xml:space="preserve"> lending practices and other business operations guideline</w:t>
      </w:r>
      <w:r>
        <w:rPr>
          <w:rFonts w:ascii="Times New Roman" w:eastAsia="仿宋" w:hAnsi="Times New Roman" w:cs="Times New Roman"/>
          <w:noProof/>
          <w:sz w:val="24"/>
        </w:rPr>
        <w:t>s</w:t>
      </w:r>
      <w:r w:rsidRPr="00E86882">
        <w:rPr>
          <w:rFonts w:ascii="Times New Roman" w:eastAsia="仿宋" w:hAnsi="Times New Roman" w:cs="Times New Roman"/>
          <w:noProof/>
          <w:sz w:val="24"/>
        </w:rPr>
        <w:t xml:space="preserve"> with respect to environmental risk assessment</w:t>
      </w:r>
      <w:r>
        <w:rPr>
          <w:rFonts w:ascii="Times New Roman" w:eastAsia="仿宋" w:hAnsi="Times New Roman" w:cs="Times New Roman"/>
          <w:noProof/>
          <w:sz w:val="24"/>
        </w:rPr>
        <w:t>;</w:t>
      </w:r>
      <w:r w:rsidRPr="00E86882">
        <w:rPr>
          <w:rFonts w:ascii="Times New Roman" w:eastAsia="仿宋" w:hAnsi="Times New Roman" w:cs="Times New Roman"/>
          <w:noProof/>
          <w:sz w:val="24"/>
        </w:rPr>
        <w:t xml:space="preserve"> design</w:t>
      </w:r>
      <w:r>
        <w:rPr>
          <w:rFonts w:ascii="Times New Roman" w:eastAsia="仿宋" w:hAnsi="Times New Roman" w:cs="Times New Roman"/>
          <w:noProof/>
          <w:sz w:val="24"/>
        </w:rPr>
        <w:t>ing</w:t>
      </w:r>
      <w:r w:rsidRPr="00E86882">
        <w:rPr>
          <w:rFonts w:ascii="Times New Roman" w:eastAsia="仿宋" w:hAnsi="Times New Roman" w:cs="Times New Roman"/>
          <w:noProof/>
          <w:sz w:val="24"/>
        </w:rPr>
        <w:t xml:space="preserve"> specific risk categorization and convenants</w:t>
      </w:r>
      <w:r>
        <w:rPr>
          <w:rFonts w:ascii="Times New Roman" w:eastAsia="仿宋" w:hAnsi="Times New Roman" w:cs="Times New Roman"/>
          <w:noProof/>
          <w:sz w:val="24"/>
        </w:rPr>
        <w:t>;</w:t>
      </w:r>
      <w:r w:rsidRPr="00E86882">
        <w:rPr>
          <w:rFonts w:ascii="Times New Roman" w:eastAsia="仿宋" w:hAnsi="Times New Roman" w:cs="Times New Roman"/>
          <w:noProof/>
          <w:sz w:val="24"/>
        </w:rPr>
        <w:t xml:space="preserve"> improv</w:t>
      </w:r>
      <w:r>
        <w:rPr>
          <w:rFonts w:ascii="Times New Roman" w:eastAsia="仿宋" w:hAnsi="Times New Roman" w:cs="Times New Roman"/>
          <w:noProof/>
          <w:sz w:val="24"/>
        </w:rPr>
        <w:t>ing</w:t>
      </w:r>
      <w:r w:rsidRPr="00E86882">
        <w:rPr>
          <w:rFonts w:ascii="Times New Roman" w:eastAsia="仿宋" w:hAnsi="Times New Roman" w:cs="Times New Roman"/>
          <w:noProof/>
          <w:sz w:val="24"/>
        </w:rPr>
        <w:t xml:space="preserve"> environmental risk categorization</w:t>
      </w:r>
      <w:r>
        <w:rPr>
          <w:rFonts w:ascii="Times New Roman" w:eastAsia="仿宋" w:hAnsi="Times New Roman" w:cs="Times New Roman"/>
          <w:noProof/>
          <w:sz w:val="24"/>
        </w:rPr>
        <w:t>;</w:t>
      </w:r>
      <w:r w:rsidRPr="00E86882">
        <w:rPr>
          <w:rFonts w:ascii="Times New Roman" w:eastAsia="仿宋" w:hAnsi="Times New Roman" w:cs="Times New Roman"/>
          <w:noProof/>
          <w:sz w:val="24"/>
        </w:rPr>
        <w:t xml:space="preserve"> and defin</w:t>
      </w:r>
      <w:r>
        <w:rPr>
          <w:rFonts w:ascii="Times New Roman" w:eastAsia="仿宋" w:hAnsi="Times New Roman" w:cs="Times New Roman"/>
          <w:noProof/>
          <w:sz w:val="24"/>
        </w:rPr>
        <w:t>ing</w:t>
      </w:r>
      <w:r w:rsidRPr="00E86882">
        <w:rPr>
          <w:rFonts w:ascii="Times New Roman" w:eastAsia="仿宋" w:hAnsi="Times New Roman" w:cs="Times New Roman"/>
          <w:noProof/>
          <w:sz w:val="24"/>
        </w:rPr>
        <w:t xml:space="preserve"> investee responsibi</w:t>
      </w:r>
      <w:r>
        <w:rPr>
          <w:rFonts w:ascii="Times New Roman" w:eastAsia="仿宋" w:hAnsi="Times New Roman" w:cs="Times New Roman"/>
          <w:noProof/>
          <w:sz w:val="24"/>
        </w:rPr>
        <w:t>l</w:t>
      </w:r>
      <w:r w:rsidRPr="00E86882">
        <w:rPr>
          <w:rFonts w:ascii="Times New Roman" w:eastAsia="仿宋" w:hAnsi="Times New Roman" w:cs="Times New Roman"/>
          <w:noProof/>
          <w:sz w:val="24"/>
        </w:rPr>
        <w:t xml:space="preserve">ities. Headquarters of financial institutions should </w:t>
      </w:r>
      <w:r>
        <w:rPr>
          <w:rFonts w:ascii="Times New Roman" w:eastAsia="仿宋" w:hAnsi="Times New Roman" w:cs="Times New Roman"/>
          <w:noProof/>
          <w:sz w:val="24"/>
        </w:rPr>
        <w:t xml:space="preserve">also </w:t>
      </w:r>
      <w:r w:rsidRPr="00E86882">
        <w:rPr>
          <w:rFonts w:ascii="Times New Roman" w:eastAsia="仿宋" w:hAnsi="Times New Roman" w:cs="Times New Roman"/>
          <w:noProof/>
          <w:sz w:val="24"/>
        </w:rPr>
        <w:t xml:space="preserve">provide regular training programs to build </w:t>
      </w:r>
      <w:r>
        <w:rPr>
          <w:rFonts w:ascii="Times New Roman" w:eastAsia="仿宋" w:hAnsi="Times New Roman" w:cs="Times New Roman"/>
          <w:noProof/>
          <w:sz w:val="24"/>
        </w:rPr>
        <w:t xml:space="preserve">the </w:t>
      </w:r>
      <w:r w:rsidRPr="00E86882">
        <w:rPr>
          <w:rFonts w:ascii="Times New Roman" w:eastAsia="仿宋" w:hAnsi="Times New Roman" w:cs="Times New Roman"/>
          <w:noProof/>
          <w:sz w:val="24"/>
        </w:rPr>
        <w:t xml:space="preserve">capacity of </w:t>
      </w:r>
      <w:r>
        <w:rPr>
          <w:rFonts w:ascii="Times New Roman" w:eastAsia="仿宋" w:hAnsi="Times New Roman" w:cs="Times New Roman"/>
          <w:noProof/>
          <w:sz w:val="24"/>
        </w:rPr>
        <w:t xml:space="preserve">their </w:t>
      </w:r>
      <w:r w:rsidRPr="00E86882">
        <w:rPr>
          <w:rFonts w:ascii="Times New Roman" w:eastAsia="仿宋" w:hAnsi="Times New Roman" w:cs="Times New Roman"/>
          <w:noProof/>
          <w:sz w:val="24"/>
        </w:rPr>
        <w:t xml:space="preserve">overseas branches </w:t>
      </w:r>
      <w:r>
        <w:rPr>
          <w:rFonts w:ascii="Times New Roman" w:eastAsia="仿宋" w:hAnsi="Times New Roman" w:cs="Times New Roman"/>
          <w:noProof/>
          <w:sz w:val="24"/>
        </w:rPr>
        <w:t>for</w:t>
      </w:r>
      <w:r w:rsidRPr="00E86882">
        <w:rPr>
          <w:rFonts w:ascii="Times New Roman" w:eastAsia="仿宋" w:hAnsi="Times New Roman" w:cs="Times New Roman"/>
          <w:noProof/>
          <w:sz w:val="24"/>
        </w:rPr>
        <w:t xml:space="preserve"> green lending and investment. </w:t>
      </w:r>
    </w:p>
    <w:p w14:paraId="73F79216" w14:textId="77777777" w:rsidR="00CF0AC1" w:rsidRPr="00E86882" w:rsidRDefault="00CF0AC1" w:rsidP="00CF0AC1">
      <w:pPr>
        <w:rPr>
          <w:rFonts w:ascii="Times New Roman" w:eastAsia="仿宋" w:hAnsi="Times New Roman" w:cs="Times New Roman"/>
          <w:noProof/>
          <w:sz w:val="24"/>
        </w:rPr>
      </w:pPr>
    </w:p>
    <w:p w14:paraId="7BAC38E5" w14:textId="77777777" w:rsidR="00CF0AC1" w:rsidRDefault="00CF0AC1" w:rsidP="00CF0AC1">
      <w:pPr>
        <w:pStyle w:val="af1"/>
        <w:numPr>
          <w:ilvl w:val="0"/>
          <w:numId w:val="2"/>
        </w:numPr>
        <w:ind w:firstLineChars="0"/>
        <w:rPr>
          <w:rFonts w:ascii="Times New Roman" w:eastAsia="仿宋" w:hAnsi="Times New Roman" w:cs="Times New Roman"/>
          <w:sz w:val="24"/>
        </w:rPr>
      </w:pPr>
      <w:r>
        <w:rPr>
          <w:rFonts w:ascii="Times New Roman" w:eastAsia="仿宋" w:hAnsi="Times New Roman" w:cs="Times New Roman"/>
          <w:b/>
          <w:sz w:val="24"/>
        </w:rPr>
        <w:t>Entities engaged in overseas investment should i</w:t>
      </w:r>
      <w:r w:rsidRPr="00E86882">
        <w:rPr>
          <w:rFonts w:ascii="Times New Roman" w:eastAsia="仿宋" w:hAnsi="Times New Roman" w:cs="Times New Roman"/>
          <w:b/>
          <w:sz w:val="24"/>
        </w:rPr>
        <w:t xml:space="preserve">mprove the use of quantitative analysis of the environmental costs </w:t>
      </w:r>
      <w:r>
        <w:rPr>
          <w:rFonts w:ascii="Times New Roman" w:eastAsia="仿宋" w:hAnsi="Times New Roman" w:cs="Times New Roman"/>
          <w:b/>
          <w:sz w:val="24"/>
        </w:rPr>
        <w:t xml:space="preserve">and benefits </w:t>
      </w:r>
      <w:r w:rsidRPr="00E86882">
        <w:rPr>
          <w:rFonts w:ascii="Times New Roman" w:eastAsia="仿宋" w:hAnsi="Times New Roman" w:cs="Times New Roman"/>
          <w:b/>
          <w:sz w:val="24"/>
        </w:rPr>
        <w:t xml:space="preserve">as part of </w:t>
      </w:r>
      <w:r>
        <w:rPr>
          <w:rFonts w:ascii="Times New Roman" w:eastAsia="仿宋" w:hAnsi="Times New Roman" w:cs="Times New Roman"/>
          <w:b/>
          <w:sz w:val="24"/>
        </w:rPr>
        <w:lastRenderedPageBreak/>
        <w:t xml:space="preserve">the investment </w:t>
      </w:r>
      <w:r w:rsidRPr="00E86882">
        <w:rPr>
          <w:rFonts w:ascii="Times New Roman" w:eastAsia="仿宋" w:hAnsi="Times New Roman" w:cs="Times New Roman"/>
          <w:b/>
          <w:sz w:val="24"/>
        </w:rPr>
        <w:t>decision-making process.</w:t>
      </w:r>
      <w:r w:rsidRPr="00E86882">
        <w:rPr>
          <w:rFonts w:ascii="Times New Roman" w:eastAsia="PMingLiU" w:hAnsi="Times New Roman" w:cs="Times New Roman"/>
          <w:b/>
          <w:sz w:val="24"/>
          <w:lang w:eastAsia="zh-TW"/>
        </w:rPr>
        <w:t xml:space="preserve"> </w:t>
      </w:r>
      <w:r w:rsidRPr="00E86882">
        <w:rPr>
          <w:rFonts w:ascii="Times New Roman" w:eastAsia="仿宋" w:hAnsi="Times New Roman" w:cs="Times New Roman"/>
          <w:sz w:val="24"/>
        </w:rPr>
        <w:t xml:space="preserve">Financial </w:t>
      </w:r>
      <w:r w:rsidRPr="00E86882">
        <w:rPr>
          <w:rFonts w:ascii="Times New Roman" w:eastAsia="仿宋" w:hAnsi="Times New Roman" w:cs="Times New Roman"/>
          <w:noProof/>
          <w:sz w:val="24"/>
        </w:rPr>
        <w:t>institutions</w:t>
      </w:r>
      <w:r w:rsidRPr="00E86882">
        <w:rPr>
          <w:rFonts w:ascii="Times New Roman" w:eastAsia="仿宋" w:hAnsi="Times New Roman" w:cs="Times New Roman"/>
          <w:sz w:val="24"/>
        </w:rPr>
        <w:t xml:space="preserve"> and enterprises are encouraged to quantify the environmental costs </w:t>
      </w:r>
      <w:r>
        <w:rPr>
          <w:rFonts w:ascii="Times New Roman" w:eastAsia="仿宋" w:hAnsi="Times New Roman" w:cs="Times New Roman"/>
          <w:sz w:val="24"/>
        </w:rPr>
        <w:t xml:space="preserve">and benefits </w:t>
      </w:r>
      <w:r w:rsidRPr="00E86882">
        <w:rPr>
          <w:rFonts w:ascii="Times New Roman" w:eastAsia="仿宋" w:hAnsi="Times New Roman" w:cs="Times New Roman"/>
          <w:sz w:val="24"/>
        </w:rPr>
        <w:t xml:space="preserve">of overseas investment projects, including different types of pollutant discharge, energy consumption </w:t>
      </w:r>
      <w:r w:rsidRPr="00E86882">
        <w:rPr>
          <w:rFonts w:ascii="Times New Roman" w:eastAsia="仿宋" w:hAnsi="Times New Roman" w:cs="Times New Roman"/>
          <w:noProof/>
          <w:sz w:val="24"/>
        </w:rPr>
        <w:t>and water</w:t>
      </w:r>
      <w:r w:rsidRPr="00E86882">
        <w:rPr>
          <w:rFonts w:ascii="Times New Roman" w:eastAsia="仿宋" w:hAnsi="Times New Roman" w:cs="Times New Roman"/>
          <w:sz w:val="24"/>
        </w:rPr>
        <w:t xml:space="preserve"> use, as a basis for decision-making. For different types of projects, appropriate evaluation indicators and </w:t>
      </w:r>
      <w:r w:rsidRPr="00E86882">
        <w:rPr>
          <w:rFonts w:ascii="Times New Roman" w:eastAsia="仿宋" w:hAnsi="Times New Roman" w:cs="Times New Roman"/>
          <w:noProof/>
          <w:sz w:val="24"/>
        </w:rPr>
        <w:t>assessment</w:t>
      </w:r>
      <w:r w:rsidRPr="00E86882">
        <w:rPr>
          <w:rFonts w:ascii="Times New Roman" w:eastAsia="仿宋" w:hAnsi="Times New Roman" w:cs="Times New Roman"/>
          <w:sz w:val="24"/>
        </w:rPr>
        <w:t xml:space="preserve"> methods should be used. To ensure </w:t>
      </w:r>
      <w:r>
        <w:rPr>
          <w:rFonts w:ascii="Times New Roman" w:eastAsia="仿宋" w:hAnsi="Times New Roman" w:cs="Times New Roman"/>
          <w:sz w:val="24"/>
        </w:rPr>
        <w:t xml:space="preserve">the </w:t>
      </w:r>
      <w:r w:rsidRPr="00E86882">
        <w:rPr>
          <w:rFonts w:ascii="Times New Roman" w:eastAsia="仿宋" w:hAnsi="Times New Roman" w:cs="Times New Roman"/>
          <w:sz w:val="24"/>
        </w:rPr>
        <w:t xml:space="preserve">applicability of the quantitative analysis, </w:t>
      </w:r>
      <w:r>
        <w:rPr>
          <w:rFonts w:ascii="Times New Roman" w:eastAsia="仿宋" w:hAnsi="Times New Roman" w:cs="Times New Roman"/>
          <w:sz w:val="24"/>
        </w:rPr>
        <w:t xml:space="preserve">the </w:t>
      </w:r>
      <w:r w:rsidRPr="00E86882">
        <w:rPr>
          <w:rFonts w:ascii="Times New Roman" w:eastAsia="仿宋" w:hAnsi="Times New Roman" w:cs="Times New Roman"/>
          <w:sz w:val="24"/>
        </w:rPr>
        <w:t xml:space="preserve">calculation of environmental costs </w:t>
      </w:r>
      <w:r>
        <w:rPr>
          <w:rFonts w:ascii="Times New Roman" w:eastAsia="仿宋" w:hAnsi="Times New Roman" w:cs="Times New Roman"/>
          <w:sz w:val="24"/>
        </w:rPr>
        <w:t xml:space="preserve">and benefits </w:t>
      </w:r>
      <w:r w:rsidRPr="00E86882">
        <w:rPr>
          <w:rFonts w:ascii="Times New Roman" w:eastAsia="仿宋" w:hAnsi="Times New Roman" w:cs="Times New Roman"/>
          <w:sz w:val="24"/>
        </w:rPr>
        <w:t xml:space="preserve">should take into consideration such factors as the host country’s level of technology development and environmental situation, while international standards should be used as benchmarks where appropriate. </w:t>
      </w:r>
    </w:p>
    <w:p w14:paraId="190FA068" w14:textId="77777777" w:rsidR="00CF0AC1" w:rsidRPr="00E86882" w:rsidRDefault="00CF0AC1" w:rsidP="00CF0AC1">
      <w:pPr>
        <w:rPr>
          <w:rFonts w:ascii="Times New Roman" w:eastAsia="仿宋" w:hAnsi="Times New Roman" w:cs="Times New Roman"/>
          <w:sz w:val="24"/>
        </w:rPr>
      </w:pPr>
    </w:p>
    <w:p w14:paraId="078968F6" w14:textId="77777777" w:rsidR="00CF0AC1" w:rsidRDefault="00CF0AC1" w:rsidP="00CF0AC1">
      <w:pPr>
        <w:pStyle w:val="af1"/>
        <w:numPr>
          <w:ilvl w:val="0"/>
          <w:numId w:val="2"/>
        </w:numPr>
        <w:ind w:firstLineChars="0"/>
        <w:rPr>
          <w:rFonts w:ascii="Times New Roman" w:eastAsia="PMingLiU" w:hAnsi="Times New Roman" w:cs="Times New Roman"/>
          <w:noProof/>
          <w:sz w:val="24"/>
          <w:lang w:eastAsia="zh-TW"/>
        </w:rPr>
      </w:pPr>
      <w:r>
        <w:rPr>
          <w:rFonts w:ascii="Times New Roman" w:eastAsia="仿宋" w:hAnsi="Times New Roman" w:cs="Times New Roman"/>
          <w:b/>
          <w:sz w:val="24"/>
        </w:rPr>
        <w:t>Entities engaged in overseas investment are encouraged to u</w:t>
      </w:r>
      <w:r w:rsidRPr="00E86882">
        <w:rPr>
          <w:rFonts w:ascii="Times New Roman" w:eastAsia="仿宋" w:hAnsi="Times New Roman" w:cs="Times New Roman"/>
          <w:b/>
          <w:sz w:val="24"/>
        </w:rPr>
        <w:t xml:space="preserve">se </w:t>
      </w:r>
      <w:r>
        <w:rPr>
          <w:rFonts w:ascii="Times New Roman" w:eastAsia="仿宋" w:hAnsi="Times New Roman" w:cs="Times New Roman"/>
          <w:b/>
          <w:sz w:val="24"/>
        </w:rPr>
        <w:t>third-</w:t>
      </w:r>
      <w:r w:rsidRPr="00E86882">
        <w:rPr>
          <w:rFonts w:ascii="Times New Roman" w:eastAsia="仿宋" w:hAnsi="Times New Roman" w:cs="Times New Roman"/>
          <w:b/>
          <w:sz w:val="24"/>
        </w:rPr>
        <w:t>party service providers for assessing and managing environmental and social risks for major projects.</w:t>
      </w:r>
      <w:r w:rsidRPr="00E86882">
        <w:rPr>
          <w:rFonts w:ascii="Times New Roman" w:eastAsia="仿宋" w:hAnsi="Times New Roman" w:cs="Times New Roman"/>
          <w:sz w:val="24"/>
        </w:rPr>
        <w:t xml:space="preserve"> </w:t>
      </w:r>
      <w:r w:rsidRPr="00E86882">
        <w:rPr>
          <w:rFonts w:ascii="Times New Roman" w:eastAsia="仿宋" w:hAnsi="Times New Roman" w:cs="Times New Roman"/>
          <w:noProof/>
          <w:sz w:val="24"/>
        </w:rPr>
        <w:t xml:space="preserve">During overseas investment activities, Chinese financial institutions and enterprises are encouraged to make full use of lawyers, environmental consultants, </w:t>
      </w:r>
      <w:r>
        <w:rPr>
          <w:rFonts w:ascii="Times New Roman" w:eastAsia="仿宋" w:hAnsi="Times New Roman" w:cs="Times New Roman"/>
          <w:noProof/>
          <w:sz w:val="24"/>
        </w:rPr>
        <w:t>non-governmental organizations (</w:t>
      </w:r>
      <w:r w:rsidRPr="00E86882">
        <w:rPr>
          <w:rFonts w:ascii="Times New Roman" w:eastAsia="仿宋" w:hAnsi="Times New Roman" w:cs="Times New Roman"/>
          <w:noProof/>
          <w:sz w:val="24"/>
        </w:rPr>
        <w:t>NGOs</w:t>
      </w:r>
      <w:r>
        <w:rPr>
          <w:rFonts w:ascii="Times New Roman" w:eastAsia="仿宋" w:hAnsi="Times New Roman" w:cs="Times New Roman"/>
          <w:noProof/>
          <w:sz w:val="24"/>
        </w:rPr>
        <w:t>)</w:t>
      </w:r>
      <w:r w:rsidRPr="00E86882">
        <w:rPr>
          <w:rFonts w:ascii="Times New Roman" w:eastAsia="仿宋" w:hAnsi="Times New Roman" w:cs="Times New Roman"/>
          <w:noProof/>
          <w:sz w:val="24"/>
        </w:rPr>
        <w:t>, think tanks</w:t>
      </w:r>
      <w:r>
        <w:rPr>
          <w:rFonts w:ascii="Times New Roman" w:eastAsia="仿宋" w:hAnsi="Times New Roman" w:cs="Times New Roman"/>
          <w:noProof/>
          <w:sz w:val="24"/>
        </w:rPr>
        <w:t>,</w:t>
      </w:r>
      <w:r w:rsidRPr="00E86882">
        <w:rPr>
          <w:rFonts w:ascii="Times New Roman" w:eastAsia="仿宋" w:hAnsi="Times New Roman" w:cs="Times New Roman"/>
          <w:noProof/>
          <w:sz w:val="24"/>
        </w:rPr>
        <w:t xml:space="preserve"> and other professional service providers to understand the host countries’ environmental laws and regulations</w:t>
      </w:r>
      <w:r>
        <w:rPr>
          <w:rFonts w:ascii="Times New Roman" w:eastAsia="仿宋" w:hAnsi="Times New Roman" w:cs="Times New Roman"/>
          <w:noProof/>
          <w:sz w:val="24"/>
        </w:rPr>
        <w:t>. They should also</w:t>
      </w:r>
      <w:r w:rsidRPr="00E86882">
        <w:rPr>
          <w:rFonts w:ascii="Times New Roman" w:eastAsia="仿宋" w:hAnsi="Times New Roman" w:cs="Times New Roman"/>
          <w:noProof/>
          <w:sz w:val="24"/>
        </w:rPr>
        <w:t xml:space="preserve"> carry out environmental impact assessment</w:t>
      </w:r>
      <w:r>
        <w:rPr>
          <w:rFonts w:ascii="Times New Roman" w:eastAsia="仿宋" w:hAnsi="Times New Roman" w:cs="Times New Roman"/>
          <w:noProof/>
          <w:sz w:val="24"/>
        </w:rPr>
        <w:t>s</w:t>
      </w:r>
      <w:r w:rsidRPr="00E86882">
        <w:rPr>
          <w:rFonts w:ascii="Times New Roman" w:eastAsia="仿宋" w:hAnsi="Times New Roman" w:cs="Times New Roman"/>
          <w:noProof/>
          <w:sz w:val="24"/>
        </w:rPr>
        <w:t xml:space="preserve"> in accordance with local provisions and sector best practices, </w:t>
      </w:r>
      <w:r>
        <w:rPr>
          <w:rFonts w:ascii="Times New Roman" w:eastAsia="仿宋" w:hAnsi="Times New Roman" w:cs="Times New Roman"/>
          <w:noProof/>
          <w:sz w:val="24"/>
        </w:rPr>
        <w:t>as well as</w:t>
      </w:r>
      <w:r w:rsidRPr="00E86882">
        <w:rPr>
          <w:rFonts w:ascii="Times New Roman" w:eastAsia="仿宋" w:hAnsi="Times New Roman" w:cs="Times New Roman"/>
          <w:noProof/>
          <w:sz w:val="24"/>
        </w:rPr>
        <w:t xml:space="preserve"> identify and prevent environmental risks at the project, local and international level, and establish communication platforms with stakeholders. </w:t>
      </w:r>
      <w:r w:rsidRPr="00E86882">
        <w:rPr>
          <w:rFonts w:ascii="Times New Roman" w:eastAsia="PMingLiU" w:hAnsi="Times New Roman" w:cs="Times New Roman"/>
          <w:noProof/>
          <w:sz w:val="24"/>
          <w:lang w:eastAsia="zh-TW"/>
        </w:rPr>
        <w:t xml:space="preserve">Enterprises are encouraged to adopt multiple means of conflict management, </w:t>
      </w:r>
      <w:r>
        <w:rPr>
          <w:rFonts w:ascii="Times New Roman" w:eastAsia="PMingLiU" w:hAnsi="Times New Roman" w:cs="Times New Roman"/>
          <w:noProof/>
          <w:sz w:val="24"/>
          <w:lang w:eastAsia="zh-TW"/>
        </w:rPr>
        <w:t xml:space="preserve">including </w:t>
      </w:r>
      <w:r w:rsidRPr="00E86882">
        <w:rPr>
          <w:rFonts w:ascii="Times New Roman" w:eastAsia="PMingLiU" w:hAnsi="Times New Roman" w:cs="Times New Roman"/>
          <w:noProof/>
          <w:sz w:val="24"/>
          <w:lang w:eastAsia="zh-TW"/>
        </w:rPr>
        <w:t>mediation</w:t>
      </w:r>
      <w:r>
        <w:rPr>
          <w:rFonts w:ascii="Times New Roman" w:eastAsia="PMingLiU" w:hAnsi="Times New Roman" w:cs="Times New Roman"/>
          <w:noProof/>
          <w:sz w:val="24"/>
          <w:lang w:eastAsia="zh-TW"/>
        </w:rPr>
        <w:t>,</w:t>
      </w:r>
      <w:r w:rsidRPr="00E86882">
        <w:rPr>
          <w:rFonts w:ascii="Times New Roman" w:eastAsia="PMingLiU" w:hAnsi="Times New Roman" w:cs="Times New Roman"/>
          <w:noProof/>
          <w:sz w:val="24"/>
          <w:lang w:eastAsia="zh-TW"/>
        </w:rPr>
        <w:t xml:space="preserve"> </w:t>
      </w:r>
      <w:r>
        <w:rPr>
          <w:rFonts w:ascii="Times New Roman" w:eastAsia="PMingLiU" w:hAnsi="Times New Roman" w:cs="Times New Roman"/>
          <w:noProof/>
          <w:sz w:val="24"/>
          <w:lang w:eastAsia="zh-TW"/>
        </w:rPr>
        <w:t xml:space="preserve">for settling </w:t>
      </w:r>
      <w:r w:rsidRPr="00E86882">
        <w:rPr>
          <w:rFonts w:ascii="Times New Roman" w:eastAsia="PMingLiU" w:hAnsi="Times New Roman" w:cs="Times New Roman"/>
          <w:noProof/>
          <w:sz w:val="24"/>
          <w:lang w:eastAsia="zh-TW"/>
        </w:rPr>
        <w:t xml:space="preserve">environment-related disputes. </w:t>
      </w:r>
    </w:p>
    <w:p w14:paraId="3D8C5B2B" w14:textId="77777777" w:rsidR="00CF0AC1" w:rsidRPr="00E86882" w:rsidRDefault="00CF0AC1" w:rsidP="00CF0AC1">
      <w:pPr>
        <w:pStyle w:val="af1"/>
        <w:ind w:firstLine="482"/>
        <w:rPr>
          <w:rFonts w:ascii="Times New Roman" w:eastAsia="仿宋" w:hAnsi="Times New Roman" w:cs="Times New Roman"/>
          <w:b/>
          <w:bCs/>
          <w:sz w:val="24"/>
        </w:rPr>
      </w:pPr>
    </w:p>
    <w:p w14:paraId="4C924422" w14:textId="1D258BE7" w:rsidR="00CF0AC1" w:rsidRPr="00E86882" w:rsidRDefault="00CF0AC1" w:rsidP="00CF0AC1">
      <w:pPr>
        <w:pStyle w:val="af1"/>
        <w:numPr>
          <w:ilvl w:val="0"/>
          <w:numId w:val="2"/>
        </w:numPr>
        <w:ind w:firstLineChars="0"/>
        <w:rPr>
          <w:rFonts w:ascii="Times New Roman" w:eastAsia="PMingLiU" w:hAnsi="Times New Roman" w:cs="Times New Roman"/>
          <w:noProof/>
          <w:sz w:val="24"/>
          <w:lang w:eastAsia="zh-TW"/>
        </w:rPr>
      </w:pPr>
      <w:r>
        <w:rPr>
          <w:rFonts w:ascii="Times New Roman" w:eastAsia="仿宋" w:hAnsi="Times New Roman" w:cs="Times New Roman"/>
          <w:b/>
          <w:bCs/>
          <w:sz w:val="24"/>
        </w:rPr>
        <w:t>Investment entities are encouraged to u</w:t>
      </w:r>
      <w:r w:rsidRPr="00E86882">
        <w:rPr>
          <w:rFonts w:ascii="Times New Roman" w:eastAsia="仿宋" w:hAnsi="Times New Roman" w:cs="Times New Roman"/>
          <w:b/>
          <w:bCs/>
          <w:sz w:val="24"/>
        </w:rPr>
        <w:t xml:space="preserve">se green finance instruments for overseas projects, </w:t>
      </w:r>
      <w:r w:rsidRPr="00E86882">
        <w:rPr>
          <w:rFonts w:ascii="Times New Roman" w:eastAsia="仿宋" w:hAnsi="Times New Roman" w:cs="Times New Roman"/>
          <w:b/>
          <w:bCs/>
          <w:noProof/>
          <w:sz w:val="24"/>
        </w:rPr>
        <w:t>especially</w:t>
      </w:r>
      <w:r w:rsidRPr="00E86882">
        <w:rPr>
          <w:rFonts w:ascii="Times New Roman" w:eastAsia="仿宋" w:hAnsi="Times New Roman" w:cs="Times New Roman"/>
          <w:b/>
          <w:bCs/>
          <w:sz w:val="24"/>
        </w:rPr>
        <w:t xml:space="preserve"> medium- and long-term infrastructure projects. </w:t>
      </w:r>
      <w:r w:rsidRPr="00E86882">
        <w:rPr>
          <w:rFonts w:ascii="Times New Roman" w:eastAsia="仿宋" w:hAnsi="Times New Roman" w:cs="Times New Roman"/>
          <w:bCs/>
          <w:noProof/>
          <w:sz w:val="24"/>
        </w:rPr>
        <w:t>Institutions investing overseas should actively apply green finance instruments such as green bonds, green ABS, YieldCo, and emission rights-based financing tools, as well as financing from green investment funds, to moblize capital for green projects, support the development of green financ</w:t>
      </w:r>
      <w:r w:rsidR="00CC0E8C">
        <w:rPr>
          <w:rFonts w:ascii="Times New Roman" w:eastAsia="仿宋" w:hAnsi="Times New Roman" w:cs="Times New Roman"/>
          <w:bCs/>
          <w:noProof/>
          <w:sz w:val="24"/>
        </w:rPr>
        <w:t>e</w:t>
      </w:r>
      <w:r w:rsidRPr="00E86882">
        <w:rPr>
          <w:rFonts w:ascii="Times New Roman" w:eastAsia="仿宋" w:hAnsi="Times New Roman" w:cs="Times New Roman"/>
          <w:bCs/>
          <w:noProof/>
          <w:sz w:val="24"/>
        </w:rPr>
        <w:t xml:space="preserve"> market and green financ</w:t>
      </w:r>
      <w:r w:rsidR="00CC0E8C">
        <w:rPr>
          <w:rFonts w:ascii="Times New Roman" w:eastAsia="仿宋" w:hAnsi="Times New Roman" w:cs="Times New Roman"/>
          <w:bCs/>
          <w:noProof/>
          <w:sz w:val="24"/>
        </w:rPr>
        <w:t>e</w:t>
      </w:r>
      <w:r w:rsidRPr="00E86882">
        <w:rPr>
          <w:rFonts w:ascii="Times New Roman" w:eastAsia="仿宋" w:hAnsi="Times New Roman" w:cs="Times New Roman"/>
          <w:bCs/>
          <w:noProof/>
          <w:sz w:val="24"/>
        </w:rPr>
        <w:t xml:space="preserve"> products, </w:t>
      </w:r>
      <w:r>
        <w:rPr>
          <w:rFonts w:ascii="Times New Roman" w:eastAsia="仿宋" w:hAnsi="Times New Roman" w:cs="Times New Roman"/>
          <w:bCs/>
          <w:noProof/>
          <w:sz w:val="24"/>
        </w:rPr>
        <w:t xml:space="preserve">and </w:t>
      </w:r>
      <w:r w:rsidRPr="00E86882">
        <w:rPr>
          <w:rFonts w:ascii="Times New Roman" w:eastAsia="仿宋" w:hAnsi="Times New Roman" w:cs="Times New Roman"/>
          <w:bCs/>
          <w:noProof/>
          <w:sz w:val="24"/>
        </w:rPr>
        <w:t>strengthen environmental information disclosure and internal process</w:t>
      </w:r>
      <w:r>
        <w:rPr>
          <w:rFonts w:ascii="Times New Roman" w:eastAsia="仿宋" w:hAnsi="Times New Roman" w:cs="Times New Roman"/>
          <w:bCs/>
          <w:noProof/>
          <w:sz w:val="24"/>
        </w:rPr>
        <w:t>es</w:t>
      </w:r>
      <w:r w:rsidRPr="00E86882">
        <w:rPr>
          <w:rFonts w:ascii="Times New Roman" w:eastAsia="仿宋" w:hAnsi="Times New Roman" w:cs="Times New Roman"/>
          <w:bCs/>
          <w:noProof/>
          <w:sz w:val="24"/>
        </w:rPr>
        <w:t xml:space="preserve"> as required by the use of green financ</w:t>
      </w:r>
      <w:r w:rsidR="00CC0E8C">
        <w:rPr>
          <w:rFonts w:ascii="Times New Roman" w:eastAsia="仿宋" w:hAnsi="Times New Roman" w:cs="Times New Roman"/>
          <w:bCs/>
          <w:noProof/>
          <w:sz w:val="24"/>
        </w:rPr>
        <w:t>e</w:t>
      </w:r>
      <w:r w:rsidRPr="00E86882">
        <w:rPr>
          <w:rFonts w:ascii="Times New Roman" w:eastAsia="仿宋" w:hAnsi="Times New Roman" w:cs="Times New Roman"/>
          <w:bCs/>
          <w:noProof/>
          <w:sz w:val="24"/>
        </w:rPr>
        <w:t xml:space="preserve"> instruments</w:t>
      </w:r>
      <w:r>
        <w:rPr>
          <w:rFonts w:ascii="Times New Roman" w:eastAsia="仿宋" w:hAnsi="Times New Roman" w:cs="Times New Roman"/>
          <w:bCs/>
          <w:noProof/>
          <w:sz w:val="24"/>
        </w:rPr>
        <w:t xml:space="preserve">. They should also </w:t>
      </w:r>
      <w:r w:rsidRPr="00E86882">
        <w:rPr>
          <w:rFonts w:ascii="Times New Roman" w:eastAsia="仿宋" w:hAnsi="Times New Roman" w:cs="Times New Roman"/>
          <w:bCs/>
          <w:noProof/>
          <w:sz w:val="24"/>
        </w:rPr>
        <w:t xml:space="preserve">engage third party institutions (such as green rating, green index, </w:t>
      </w:r>
      <w:r>
        <w:rPr>
          <w:rFonts w:ascii="Times New Roman" w:eastAsia="仿宋" w:hAnsi="Times New Roman" w:cs="Times New Roman"/>
          <w:bCs/>
          <w:noProof/>
          <w:sz w:val="24"/>
        </w:rPr>
        <w:t xml:space="preserve">and </w:t>
      </w:r>
      <w:r w:rsidRPr="00E86882">
        <w:rPr>
          <w:rFonts w:ascii="Times New Roman" w:eastAsia="仿宋" w:hAnsi="Times New Roman" w:cs="Times New Roman"/>
          <w:bCs/>
          <w:noProof/>
          <w:sz w:val="24"/>
        </w:rPr>
        <w:t xml:space="preserve">green certification agencies) to help strengthen project environmental risk management. </w:t>
      </w:r>
    </w:p>
    <w:p w14:paraId="224C9915" w14:textId="77777777" w:rsidR="00CF0AC1" w:rsidRPr="00E86882" w:rsidRDefault="00CF0AC1" w:rsidP="00CF0AC1">
      <w:pPr>
        <w:pStyle w:val="af1"/>
        <w:ind w:firstLine="482"/>
        <w:rPr>
          <w:rFonts w:ascii="Times New Roman" w:eastAsia="仿宋" w:hAnsi="Times New Roman" w:cs="Times New Roman"/>
          <w:b/>
          <w:noProof/>
          <w:sz w:val="24"/>
        </w:rPr>
      </w:pPr>
    </w:p>
    <w:p w14:paraId="6F996E1A" w14:textId="77777777" w:rsidR="00CF0AC1" w:rsidRDefault="00CF0AC1" w:rsidP="00CF0AC1">
      <w:pPr>
        <w:pStyle w:val="af1"/>
        <w:numPr>
          <w:ilvl w:val="0"/>
          <w:numId w:val="2"/>
        </w:numPr>
        <w:ind w:firstLineChars="0"/>
        <w:rPr>
          <w:rFonts w:ascii="Times New Roman" w:eastAsia="PMingLiU" w:hAnsi="Times New Roman" w:cs="Times New Roman"/>
          <w:noProof/>
          <w:sz w:val="24"/>
          <w:lang w:eastAsia="zh-TW"/>
        </w:rPr>
      </w:pPr>
      <w:r>
        <w:rPr>
          <w:rFonts w:ascii="Times New Roman" w:eastAsia="仿宋" w:hAnsi="Times New Roman" w:cs="Times New Roman"/>
          <w:b/>
          <w:noProof/>
          <w:sz w:val="24"/>
        </w:rPr>
        <w:t>Enterprises engaged in overseas investment are encouraged to u</w:t>
      </w:r>
      <w:r w:rsidRPr="00E86882">
        <w:rPr>
          <w:rFonts w:ascii="Times New Roman" w:eastAsia="仿宋" w:hAnsi="Times New Roman" w:cs="Times New Roman"/>
          <w:b/>
          <w:noProof/>
          <w:sz w:val="24"/>
        </w:rPr>
        <w:t>se environmental liability insurance as a risk management tool</w:t>
      </w:r>
      <w:r>
        <w:rPr>
          <w:rFonts w:ascii="Times New Roman" w:eastAsia="仿宋" w:hAnsi="Times New Roman" w:cs="Times New Roman"/>
          <w:b/>
          <w:noProof/>
          <w:sz w:val="24"/>
        </w:rPr>
        <w:t xml:space="preserve"> for projects with </w:t>
      </w:r>
      <w:r w:rsidRPr="00E86882">
        <w:rPr>
          <w:rFonts w:ascii="Times New Roman" w:eastAsia="仿宋" w:hAnsi="Times New Roman" w:cs="Times New Roman"/>
          <w:b/>
          <w:noProof/>
          <w:sz w:val="24"/>
        </w:rPr>
        <w:t>high e</w:t>
      </w:r>
      <w:r>
        <w:rPr>
          <w:rFonts w:ascii="Times New Roman" w:eastAsia="仿宋" w:hAnsi="Times New Roman" w:cs="Times New Roman"/>
          <w:b/>
          <w:noProof/>
          <w:sz w:val="24"/>
        </w:rPr>
        <w:t>nvironmental risk.</w:t>
      </w:r>
      <w:r w:rsidRPr="00E86882">
        <w:rPr>
          <w:rFonts w:ascii="Times New Roman" w:eastAsia="仿宋" w:hAnsi="Times New Roman" w:cs="Times New Roman"/>
          <w:b/>
          <w:noProof/>
          <w:sz w:val="24"/>
        </w:rPr>
        <w:t xml:space="preserve"> </w:t>
      </w:r>
      <w:r w:rsidRPr="00217E2F">
        <w:rPr>
          <w:rFonts w:ascii="Times New Roman" w:eastAsia="仿宋" w:hAnsi="Times New Roman" w:cs="Times New Roman"/>
          <w:noProof/>
          <w:sz w:val="24"/>
        </w:rPr>
        <w:t xml:space="preserve">Enterprises should seek to leverage </w:t>
      </w:r>
      <w:r w:rsidRPr="00217E2F">
        <w:rPr>
          <w:rFonts w:ascii="Times New Roman" w:eastAsia="PMingLiU" w:hAnsi="Times New Roman" w:cs="Times New Roman"/>
          <w:noProof/>
          <w:sz w:val="24"/>
          <w:lang w:eastAsia="zh-TW"/>
        </w:rPr>
        <w:t>insurance companies’ capacity for mitigating environmental risks and reducing the probability of environmental accidents.</w:t>
      </w:r>
      <w:r w:rsidRPr="00E86882">
        <w:rPr>
          <w:rFonts w:ascii="Times New Roman" w:eastAsia="PMingLiU" w:hAnsi="Times New Roman" w:cs="Times New Roman"/>
          <w:b/>
          <w:noProof/>
          <w:sz w:val="24"/>
          <w:lang w:eastAsia="zh-TW"/>
        </w:rPr>
        <w:t xml:space="preserve"> </w:t>
      </w:r>
      <w:r w:rsidRPr="00217E2F">
        <w:rPr>
          <w:rFonts w:ascii="Times New Roman" w:eastAsia="PMingLiU" w:hAnsi="Times New Roman" w:cs="Times New Roman"/>
          <w:noProof/>
          <w:sz w:val="24"/>
          <w:lang w:eastAsia="zh-TW"/>
        </w:rPr>
        <w:t>They</w:t>
      </w:r>
      <w:r w:rsidRPr="00E86882">
        <w:rPr>
          <w:rFonts w:ascii="Times New Roman" w:eastAsia="PMingLiU" w:hAnsi="Times New Roman" w:cs="Times New Roman"/>
          <w:noProof/>
          <w:sz w:val="24"/>
          <w:lang w:eastAsia="zh-TW"/>
        </w:rPr>
        <w:t xml:space="preserve"> should </w:t>
      </w:r>
      <w:r>
        <w:rPr>
          <w:rFonts w:ascii="Times New Roman" w:eastAsia="PMingLiU" w:hAnsi="Times New Roman" w:cs="Times New Roman"/>
          <w:noProof/>
          <w:sz w:val="24"/>
          <w:lang w:eastAsia="zh-TW"/>
        </w:rPr>
        <w:t xml:space="preserve">also </w:t>
      </w:r>
      <w:r w:rsidRPr="00E86882">
        <w:rPr>
          <w:rFonts w:ascii="Times New Roman" w:eastAsia="仿宋" w:hAnsi="Times New Roman" w:cs="Times New Roman"/>
          <w:noProof/>
          <w:sz w:val="24"/>
        </w:rPr>
        <w:t xml:space="preserve">abide by </w:t>
      </w:r>
      <w:r>
        <w:rPr>
          <w:rFonts w:ascii="Times New Roman" w:eastAsia="仿宋" w:hAnsi="Times New Roman" w:cs="Times New Roman"/>
          <w:noProof/>
          <w:sz w:val="24"/>
        </w:rPr>
        <w:t xml:space="preserve">the </w:t>
      </w:r>
      <w:r w:rsidRPr="00E86882">
        <w:rPr>
          <w:rFonts w:ascii="Times New Roman" w:eastAsia="仿宋" w:hAnsi="Times New Roman" w:cs="Times New Roman"/>
          <w:noProof/>
          <w:sz w:val="24"/>
        </w:rPr>
        <w:t xml:space="preserve">insurance requirements of host countries on environmental pollution liability in high environmental risk sectors (such as mining, </w:t>
      </w:r>
      <w:r w:rsidRPr="00E86882">
        <w:rPr>
          <w:rFonts w:ascii="Times New Roman" w:eastAsia="仿宋" w:hAnsi="Times New Roman" w:cs="Times New Roman"/>
          <w:noProof/>
          <w:sz w:val="24"/>
        </w:rPr>
        <w:lastRenderedPageBreak/>
        <w:t>petroleum, chemi</w:t>
      </w:r>
      <w:r>
        <w:rPr>
          <w:rFonts w:ascii="Times New Roman" w:eastAsia="仿宋" w:hAnsi="Times New Roman" w:cs="Times New Roman"/>
          <w:noProof/>
          <w:sz w:val="24"/>
        </w:rPr>
        <w:t>cals</w:t>
      </w:r>
      <w:r w:rsidRPr="00E86882">
        <w:rPr>
          <w:rFonts w:ascii="Times New Roman" w:eastAsia="仿宋" w:hAnsi="Times New Roman" w:cs="Times New Roman"/>
          <w:noProof/>
          <w:sz w:val="24"/>
        </w:rPr>
        <w:t>, and transportation of haza</w:t>
      </w:r>
      <w:r>
        <w:rPr>
          <w:rFonts w:ascii="Times New Roman" w:eastAsia="仿宋" w:hAnsi="Times New Roman" w:cs="Times New Roman"/>
          <w:noProof/>
          <w:sz w:val="24"/>
        </w:rPr>
        <w:t>r</w:t>
      </w:r>
      <w:r w:rsidRPr="00E86882">
        <w:rPr>
          <w:rFonts w:ascii="Times New Roman" w:eastAsia="仿宋" w:hAnsi="Times New Roman" w:cs="Times New Roman"/>
          <w:noProof/>
          <w:sz w:val="24"/>
        </w:rPr>
        <w:t>dous materials), and actively use environmental liability insurance provided by international insurers to manage potential legal and financial risks caused by environmental accidents.</w:t>
      </w:r>
      <w:r w:rsidRPr="00E86882">
        <w:rPr>
          <w:rFonts w:ascii="Times New Roman" w:eastAsia="仿宋" w:hAnsi="Times New Roman" w:cs="Times New Roman"/>
          <w:sz w:val="24"/>
        </w:rPr>
        <w:t xml:space="preserve"> China's insurance </w:t>
      </w:r>
      <w:r w:rsidRPr="00E86882">
        <w:rPr>
          <w:rFonts w:ascii="Times New Roman" w:eastAsia="仿宋" w:hAnsi="Times New Roman" w:cs="Times New Roman"/>
          <w:noProof/>
          <w:sz w:val="24"/>
        </w:rPr>
        <w:t>institutions</w:t>
      </w:r>
      <w:r w:rsidRPr="00E86882">
        <w:rPr>
          <w:rFonts w:ascii="Times New Roman" w:eastAsia="仿宋" w:hAnsi="Times New Roman" w:cs="Times New Roman"/>
          <w:sz w:val="24"/>
        </w:rPr>
        <w:t xml:space="preserve"> should actively participate in the "Belt and Road" initiative by developing environmental liability insurance products for overseas investment projects, and play an active role in monitoring and encouraging enterprises to reduce environmental risks in overseas investment.</w:t>
      </w:r>
      <w:r w:rsidRPr="00E86882">
        <w:rPr>
          <w:rFonts w:ascii="Times New Roman" w:eastAsia="PMingLiU" w:hAnsi="Times New Roman" w:cs="Times New Roman"/>
          <w:sz w:val="24"/>
          <w:lang w:eastAsia="zh-TW"/>
        </w:rPr>
        <w:t xml:space="preserve"> </w:t>
      </w:r>
    </w:p>
    <w:p w14:paraId="6C21D37A" w14:textId="77777777" w:rsidR="00CF0AC1" w:rsidRPr="00E86882" w:rsidRDefault="00CF0AC1" w:rsidP="00CF0AC1">
      <w:pPr>
        <w:pStyle w:val="af1"/>
        <w:ind w:firstLine="482"/>
        <w:rPr>
          <w:rFonts w:ascii="Times New Roman" w:eastAsia="仿宋" w:hAnsi="Times New Roman" w:cs="Times New Roman"/>
          <w:b/>
          <w:sz w:val="24"/>
        </w:rPr>
      </w:pPr>
    </w:p>
    <w:p w14:paraId="68BAEF39" w14:textId="33F8493D" w:rsidR="00CF0AC1" w:rsidRPr="002A3804" w:rsidRDefault="00CF0AC1" w:rsidP="00CF0AC1">
      <w:pPr>
        <w:pStyle w:val="af1"/>
        <w:numPr>
          <w:ilvl w:val="0"/>
          <w:numId w:val="2"/>
        </w:numPr>
        <w:ind w:firstLineChars="0"/>
        <w:rPr>
          <w:rFonts w:ascii="Times New Roman" w:eastAsia="PMingLiU" w:hAnsi="Times New Roman" w:cs="Times New Roman"/>
          <w:noProof/>
          <w:sz w:val="24"/>
          <w:lang w:eastAsia="zh-TW"/>
        </w:rPr>
      </w:pPr>
      <w:r>
        <w:rPr>
          <w:rFonts w:ascii="Times New Roman" w:eastAsia="仿宋" w:hAnsi="Times New Roman" w:cs="Times New Roman"/>
          <w:b/>
          <w:sz w:val="24"/>
        </w:rPr>
        <w:t>G</w:t>
      </w:r>
      <w:r w:rsidRPr="00E86882">
        <w:rPr>
          <w:rFonts w:ascii="Times New Roman" w:eastAsia="仿宋" w:hAnsi="Times New Roman" w:cs="Times New Roman"/>
          <w:b/>
          <w:sz w:val="24"/>
        </w:rPr>
        <w:t xml:space="preserve">reen supply chain management </w:t>
      </w:r>
      <w:r>
        <w:rPr>
          <w:rFonts w:ascii="Times New Roman" w:eastAsia="仿宋" w:hAnsi="Times New Roman" w:cs="Times New Roman"/>
          <w:b/>
          <w:sz w:val="24"/>
        </w:rPr>
        <w:t xml:space="preserve">should be adopted </w:t>
      </w:r>
      <w:r w:rsidRPr="00E86882">
        <w:rPr>
          <w:rFonts w:ascii="Times New Roman" w:eastAsia="仿宋" w:hAnsi="Times New Roman" w:cs="Times New Roman"/>
          <w:b/>
          <w:sz w:val="24"/>
        </w:rPr>
        <w:t>in project design</w:t>
      </w:r>
      <w:r>
        <w:rPr>
          <w:rFonts w:ascii="Times New Roman" w:eastAsia="仿宋" w:hAnsi="Times New Roman" w:cs="Times New Roman"/>
          <w:b/>
          <w:sz w:val="24"/>
        </w:rPr>
        <w:t xml:space="preserve"> and initiation</w:t>
      </w:r>
      <w:r w:rsidRPr="00E86882">
        <w:rPr>
          <w:rFonts w:ascii="Times New Roman" w:eastAsia="仿宋" w:hAnsi="Times New Roman" w:cs="Times New Roman"/>
          <w:b/>
          <w:sz w:val="24"/>
        </w:rPr>
        <w:t xml:space="preserve">, project bidding, </w:t>
      </w:r>
      <w:r>
        <w:rPr>
          <w:rFonts w:ascii="Times New Roman" w:eastAsia="仿宋" w:hAnsi="Times New Roman" w:cs="Times New Roman"/>
          <w:b/>
          <w:sz w:val="24"/>
        </w:rPr>
        <w:t xml:space="preserve">and in the procurement of </w:t>
      </w:r>
      <w:r w:rsidRPr="00E86882">
        <w:rPr>
          <w:rFonts w:ascii="Times New Roman" w:eastAsia="仿宋" w:hAnsi="Times New Roman" w:cs="Times New Roman"/>
          <w:b/>
          <w:sz w:val="24"/>
        </w:rPr>
        <w:t xml:space="preserve">raw materials and equipment procurement </w:t>
      </w:r>
      <w:r>
        <w:rPr>
          <w:rFonts w:ascii="Times New Roman" w:eastAsia="仿宋" w:hAnsi="Times New Roman" w:cs="Times New Roman"/>
          <w:b/>
          <w:sz w:val="24"/>
        </w:rPr>
        <w:t xml:space="preserve">for </w:t>
      </w:r>
      <w:r w:rsidRPr="00E86882">
        <w:rPr>
          <w:rFonts w:ascii="Times New Roman" w:eastAsia="仿宋" w:hAnsi="Times New Roman" w:cs="Times New Roman"/>
          <w:b/>
          <w:sz w:val="24"/>
        </w:rPr>
        <w:t>large overseas infrastructure projects</w:t>
      </w:r>
      <w:r>
        <w:rPr>
          <w:rFonts w:ascii="Times New Roman" w:eastAsia="仿宋" w:hAnsi="Times New Roman" w:cs="Times New Roman"/>
          <w:b/>
          <w:sz w:val="24"/>
        </w:rPr>
        <w:t xml:space="preserve">. </w:t>
      </w:r>
      <w:r w:rsidRPr="00217E2F">
        <w:rPr>
          <w:rFonts w:ascii="Times New Roman" w:eastAsia="仿宋" w:hAnsi="Times New Roman" w:cs="Times New Roman"/>
          <w:sz w:val="24"/>
        </w:rPr>
        <w:t>This will help promote green operations for suppliers of raw materials, equipment and services.</w:t>
      </w:r>
      <w:r w:rsidRPr="00E86882">
        <w:rPr>
          <w:rFonts w:ascii="Times New Roman" w:eastAsia="仿宋" w:hAnsi="Times New Roman" w:cs="Times New Roman"/>
          <w:b/>
          <w:sz w:val="24"/>
        </w:rPr>
        <w:t xml:space="preserve"> </w:t>
      </w:r>
      <w:r w:rsidRPr="00217E2F">
        <w:rPr>
          <w:rFonts w:ascii="Times New Roman" w:eastAsia="仿宋" w:hAnsi="Times New Roman" w:cs="Times New Roman"/>
          <w:sz w:val="24"/>
        </w:rPr>
        <w:t xml:space="preserve">Under the </w:t>
      </w:r>
      <w:r w:rsidRPr="002A3804">
        <w:rPr>
          <w:rFonts w:ascii="Times New Roman" w:eastAsia="仿宋" w:hAnsi="Times New Roman" w:cs="Times New Roman"/>
          <w:sz w:val="24"/>
        </w:rPr>
        <w:t>green procurement principles</w:t>
      </w:r>
      <w:r w:rsidR="00315381">
        <w:rPr>
          <w:rFonts w:ascii="Times New Roman" w:eastAsia="宋体" w:hAnsi="Times New Roman" w:cs="Times New Roman"/>
          <w:sz w:val="24"/>
        </w:rPr>
        <w:t xml:space="preserve">, </w:t>
      </w:r>
      <w:r w:rsidRPr="00217E2F">
        <w:rPr>
          <w:rFonts w:ascii="Times New Roman" w:eastAsia="仿宋" w:hAnsi="Times New Roman" w:cs="Times New Roman"/>
          <w:sz w:val="24"/>
        </w:rPr>
        <w:t xml:space="preserve">a </w:t>
      </w:r>
      <w:r w:rsidRPr="002A3804">
        <w:rPr>
          <w:rFonts w:ascii="Times New Roman" w:eastAsia="仿宋" w:hAnsi="Times New Roman" w:cs="Times New Roman"/>
          <w:sz w:val="24"/>
        </w:rPr>
        <w:t xml:space="preserve">green bidding </w:t>
      </w:r>
      <w:r>
        <w:rPr>
          <w:rFonts w:ascii="Times New Roman" w:eastAsia="仿宋" w:hAnsi="Times New Roman" w:cs="Times New Roman"/>
          <w:sz w:val="24"/>
        </w:rPr>
        <w:t xml:space="preserve">process </w:t>
      </w:r>
      <w:r w:rsidR="00471A40">
        <w:rPr>
          <w:rFonts w:ascii="Times New Roman" w:eastAsia="仿宋" w:hAnsi="Times New Roman" w:cs="Times New Roman"/>
          <w:sz w:val="24"/>
        </w:rPr>
        <w:t>should</w:t>
      </w:r>
      <w:r w:rsidR="00471A40" w:rsidRPr="002A3804">
        <w:rPr>
          <w:rFonts w:ascii="Times New Roman" w:eastAsia="仿宋" w:hAnsi="Times New Roman" w:cs="Times New Roman"/>
          <w:sz w:val="24"/>
        </w:rPr>
        <w:t xml:space="preserve"> be explored</w:t>
      </w:r>
      <w:r w:rsidR="00471A40">
        <w:rPr>
          <w:rFonts w:ascii="Times New Roman" w:eastAsia="仿宋" w:hAnsi="Times New Roman" w:cs="Times New Roman"/>
          <w:sz w:val="24"/>
        </w:rPr>
        <w:t xml:space="preserve"> </w:t>
      </w:r>
      <w:r>
        <w:rPr>
          <w:rFonts w:ascii="Times New Roman" w:eastAsia="仿宋" w:hAnsi="Times New Roman" w:cs="Times New Roman"/>
          <w:sz w:val="24"/>
        </w:rPr>
        <w:t xml:space="preserve">for </w:t>
      </w:r>
      <w:r w:rsidRPr="002A3804">
        <w:rPr>
          <w:rFonts w:ascii="Times New Roman" w:eastAsia="仿宋" w:hAnsi="Times New Roman" w:cs="Times New Roman"/>
          <w:sz w:val="24"/>
        </w:rPr>
        <w:t xml:space="preserve">contractors for project </w:t>
      </w:r>
      <w:r>
        <w:rPr>
          <w:rFonts w:ascii="Times New Roman" w:eastAsia="仿宋" w:hAnsi="Times New Roman" w:cs="Times New Roman"/>
          <w:sz w:val="24"/>
        </w:rPr>
        <w:t xml:space="preserve">management, engineering </w:t>
      </w:r>
      <w:r w:rsidRPr="002A3804">
        <w:rPr>
          <w:rFonts w:ascii="Times New Roman" w:eastAsia="仿宋" w:hAnsi="Times New Roman" w:cs="Times New Roman"/>
          <w:sz w:val="24"/>
        </w:rPr>
        <w:t>contract</w:t>
      </w:r>
      <w:r>
        <w:rPr>
          <w:rFonts w:ascii="Times New Roman" w:eastAsia="仿宋" w:hAnsi="Times New Roman" w:cs="Times New Roman"/>
          <w:sz w:val="24"/>
        </w:rPr>
        <w:t>s</w:t>
      </w:r>
      <w:r w:rsidRPr="002A3804">
        <w:rPr>
          <w:rFonts w:ascii="Times New Roman" w:eastAsia="仿宋" w:hAnsi="Times New Roman" w:cs="Times New Roman"/>
          <w:sz w:val="24"/>
        </w:rPr>
        <w:t>, project operation</w:t>
      </w:r>
      <w:r>
        <w:rPr>
          <w:rFonts w:ascii="Times New Roman" w:eastAsia="仿宋" w:hAnsi="Times New Roman" w:cs="Times New Roman"/>
          <w:sz w:val="24"/>
        </w:rPr>
        <w:t>s</w:t>
      </w:r>
      <w:r w:rsidRPr="002A3804">
        <w:rPr>
          <w:rFonts w:ascii="Times New Roman" w:eastAsia="仿宋" w:hAnsi="Times New Roman" w:cs="Times New Roman"/>
          <w:sz w:val="24"/>
        </w:rPr>
        <w:t xml:space="preserve"> and maintenance</w:t>
      </w:r>
      <w:r>
        <w:rPr>
          <w:rFonts w:ascii="Times New Roman" w:eastAsia="仿宋" w:hAnsi="Times New Roman" w:cs="Times New Roman"/>
          <w:sz w:val="24"/>
        </w:rPr>
        <w:t>,</w:t>
      </w:r>
      <w:r w:rsidRPr="002A3804">
        <w:rPr>
          <w:rFonts w:ascii="Times New Roman" w:eastAsia="仿宋" w:hAnsi="Times New Roman" w:cs="Times New Roman"/>
          <w:sz w:val="24"/>
        </w:rPr>
        <w:t xml:space="preserve"> as well as raw materials and equipment, and green procurement of office </w:t>
      </w:r>
      <w:r>
        <w:rPr>
          <w:rFonts w:ascii="Times New Roman" w:eastAsia="仿宋" w:hAnsi="Times New Roman" w:cs="Times New Roman" w:hint="eastAsia"/>
          <w:sz w:val="24"/>
        </w:rPr>
        <w:t>suppliers</w:t>
      </w:r>
      <w:r w:rsidRPr="002A3804">
        <w:rPr>
          <w:rFonts w:ascii="Times New Roman" w:eastAsia="仿宋" w:hAnsi="Times New Roman" w:cs="Times New Roman"/>
          <w:sz w:val="24"/>
        </w:rPr>
        <w:t xml:space="preserve"> </w:t>
      </w:r>
      <w:r>
        <w:rPr>
          <w:rFonts w:ascii="Times New Roman" w:eastAsia="仿宋" w:hAnsi="Times New Roman" w:cs="Times New Roman"/>
          <w:sz w:val="24"/>
        </w:rPr>
        <w:t>should</w:t>
      </w:r>
      <w:r w:rsidRPr="002A3804">
        <w:rPr>
          <w:rFonts w:ascii="Times New Roman" w:eastAsia="仿宋" w:hAnsi="Times New Roman" w:cs="Times New Roman"/>
          <w:sz w:val="24"/>
        </w:rPr>
        <w:t xml:space="preserve"> be implemented. Voluntary initiatives </w:t>
      </w:r>
      <w:r>
        <w:rPr>
          <w:rFonts w:ascii="Times New Roman" w:eastAsia="仿宋" w:hAnsi="Times New Roman" w:cs="Times New Roman"/>
          <w:sz w:val="24"/>
        </w:rPr>
        <w:t xml:space="preserve">on </w:t>
      </w:r>
      <w:r w:rsidRPr="002A3804">
        <w:rPr>
          <w:rFonts w:ascii="Times New Roman" w:eastAsia="仿宋" w:hAnsi="Times New Roman" w:cs="Times New Roman"/>
          <w:sz w:val="24"/>
        </w:rPr>
        <w:t>green supply chain</w:t>
      </w:r>
      <w:r>
        <w:rPr>
          <w:rFonts w:ascii="Times New Roman" w:eastAsia="仿宋" w:hAnsi="Times New Roman" w:cs="Times New Roman"/>
          <w:sz w:val="24"/>
        </w:rPr>
        <w:t xml:space="preserve"> are also encouraged in areas such as the </w:t>
      </w:r>
      <w:r w:rsidRPr="002A3804">
        <w:rPr>
          <w:rFonts w:ascii="Times New Roman" w:eastAsia="仿宋" w:hAnsi="Times New Roman" w:cs="Times New Roman"/>
          <w:sz w:val="24"/>
        </w:rPr>
        <w:t xml:space="preserve">development of </w:t>
      </w:r>
      <w:r>
        <w:rPr>
          <w:rFonts w:ascii="Times New Roman" w:eastAsia="仿宋" w:hAnsi="Times New Roman" w:cs="Times New Roman"/>
          <w:sz w:val="24"/>
        </w:rPr>
        <w:t xml:space="preserve">‘white </w:t>
      </w:r>
      <w:r w:rsidRPr="002A3804">
        <w:rPr>
          <w:rFonts w:ascii="Times New Roman" w:eastAsia="仿宋" w:hAnsi="Times New Roman" w:cs="Times New Roman"/>
          <w:sz w:val="24"/>
        </w:rPr>
        <w:t>list</w:t>
      </w:r>
      <w:r w:rsidR="00CC0E8C">
        <w:rPr>
          <w:rFonts w:ascii="Times New Roman" w:eastAsia="仿宋" w:hAnsi="Times New Roman" w:cs="Times New Roman"/>
          <w:sz w:val="24"/>
        </w:rPr>
        <w:t>s</w:t>
      </w:r>
      <w:r>
        <w:rPr>
          <w:rFonts w:ascii="Times New Roman" w:eastAsia="仿宋" w:hAnsi="Times New Roman" w:cs="Times New Roman"/>
          <w:sz w:val="24"/>
        </w:rPr>
        <w:t>’</w:t>
      </w:r>
      <w:r w:rsidRPr="002A3804">
        <w:rPr>
          <w:rFonts w:ascii="Times New Roman" w:eastAsia="仿宋" w:hAnsi="Times New Roman" w:cs="Times New Roman"/>
          <w:sz w:val="24"/>
        </w:rPr>
        <w:t xml:space="preserve"> </w:t>
      </w:r>
      <w:r>
        <w:rPr>
          <w:rFonts w:ascii="Times New Roman" w:eastAsia="仿宋" w:hAnsi="Times New Roman" w:cs="Times New Roman"/>
          <w:sz w:val="24"/>
        </w:rPr>
        <w:t xml:space="preserve">for </w:t>
      </w:r>
      <w:r w:rsidRPr="002A3804">
        <w:rPr>
          <w:rFonts w:ascii="Times New Roman" w:eastAsia="仿宋" w:hAnsi="Times New Roman" w:cs="Times New Roman"/>
          <w:sz w:val="24"/>
        </w:rPr>
        <w:t xml:space="preserve">green supply chain materials and equipment, </w:t>
      </w:r>
      <w:r>
        <w:rPr>
          <w:rFonts w:ascii="Times New Roman" w:eastAsia="仿宋" w:hAnsi="Times New Roman" w:cs="Times New Roman"/>
          <w:sz w:val="24"/>
        </w:rPr>
        <w:t xml:space="preserve">the </w:t>
      </w:r>
      <w:r w:rsidRPr="002A3804">
        <w:rPr>
          <w:rFonts w:ascii="Times New Roman" w:eastAsia="仿宋" w:hAnsi="Times New Roman" w:cs="Times New Roman"/>
          <w:sz w:val="24"/>
        </w:rPr>
        <w:t>release of green supply chain performance ind</w:t>
      </w:r>
      <w:r w:rsidR="00673F2E">
        <w:rPr>
          <w:rFonts w:ascii="Times New Roman" w:eastAsia="仿宋" w:hAnsi="Times New Roman" w:cs="Times New Roman"/>
          <w:sz w:val="24"/>
        </w:rPr>
        <w:t>ic</w:t>
      </w:r>
      <w:r w:rsidRPr="002A3804">
        <w:rPr>
          <w:rFonts w:ascii="Times New Roman" w:eastAsia="仿宋" w:hAnsi="Times New Roman" w:cs="Times New Roman"/>
          <w:sz w:val="24"/>
        </w:rPr>
        <w:t>es</w:t>
      </w:r>
      <w:r>
        <w:rPr>
          <w:rFonts w:ascii="Times New Roman" w:eastAsia="仿宋" w:hAnsi="Times New Roman" w:cs="Times New Roman"/>
          <w:sz w:val="24"/>
        </w:rPr>
        <w:t xml:space="preserve">, and the improvement of </w:t>
      </w:r>
      <w:r w:rsidRPr="002A3804">
        <w:rPr>
          <w:rFonts w:ascii="Times New Roman" w:eastAsia="仿宋" w:hAnsi="Times New Roman" w:cs="Times New Roman"/>
          <w:sz w:val="24"/>
        </w:rPr>
        <w:t xml:space="preserve">transparency and </w:t>
      </w:r>
      <w:r>
        <w:rPr>
          <w:rFonts w:ascii="Times New Roman" w:eastAsia="仿宋" w:hAnsi="Times New Roman" w:cs="Times New Roman"/>
          <w:sz w:val="24"/>
        </w:rPr>
        <w:t xml:space="preserve">information </w:t>
      </w:r>
      <w:r w:rsidRPr="002A3804">
        <w:rPr>
          <w:rFonts w:ascii="Times New Roman" w:eastAsia="仿宋" w:hAnsi="Times New Roman" w:cs="Times New Roman"/>
          <w:sz w:val="24"/>
        </w:rPr>
        <w:t xml:space="preserve">connectivity in relation to </w:t>
      </w:r>
      <w:r>
        <w:rPr>
          <w:rFonts w:ascii="Times New Roman" w:eastAsia="仿宋" w:hAnsi="Times New Roman" w:cs="Times New Roman"/>
          <w:sz w:val="24"/>
        </w:rPr>
        <w:t xml:space="preserve">the </w:t>
      </w:r>
      <w:r w:rsidRPr="002A3804">
        <w:rPr>
          <w:rFonts w:ascii="Times New Roman" w:eastAsia="仿宋" w:hAnsi="Times New Roman" w:cs="Times New Roman"/>
          <w:sz w:val="24"/>
        </w:rPr>
        <w:t>green supply chain.</w:t>
      </w:r>
    </w:p>
    <w:p w14:paraId="667839F1" w14:textId="77777777" w:rsidR="00CF0AC1" w:rsidRPr="00E86882" w:rsidRDefault="00CF0AC1" w:rsidP="00CF0AC1">
      <w:pPr>
        <w:pStyle w:val="af1"/>
        <w:ind w:left="1080" w:firstLineChars="0" w:firstLine="0"/>
        <w:rPr>
          <w:rFonts w:ascii="Times New Roman" w:eastAsia="PMingLiU" w:hAnsi="Times New Roman" w:cs="Times New Roman"/>
          <w:noProof/>
          <w:sz w:val="24"/>
          <w:lang w:eastAsia="zh-TW"/>
        </w:rPr>
      </w:pPr>
    </w:p>
    <w:p w14:paraId="2D53C365" w14:textId="77777777" w:rsidR="00CF0AC1" w:rsidRDefault="00CF0AC1" w:rsidP="00CF0AC1">
      <w:pPr>
        <w:pStyle w:val="af1"/>
        <w:numPr>
          <w:ilvl w:val="0"/>
          <w:numId w:val="2"/>
        </w:numPr>
        <w:ind w:firstLineChars="0"/>
        <w:rPr>
          <w:rFonts w:ascii="Times New Roman" w:eastAsia="仿宋" w:hAnsi="Times New Roman" w:cs="Times New Roman"/>
          <w:sz w:val="24"/>
        </w:rPr>
      </w:pPr>
      <w:r>
        <w:rPr>
          <w:rFonts w:ascii="Times New Roman" w:eastAsia="仿宋" w:hAnsi="Times New Roman" w:cs="Times New Roman" w:hint="eastAsia"/>
          <w:b/>
          <w:sz w:val="24"/>
        </w:rPr>
        <w:t>Financial</w:t>
      </w:r>
      <w:r>
        <w:rPr>
          <w:rFonts w:ascii="Times New Roman" w:eastAsia="仿宋" w:hAnsi="Times New Roman" w:cs="Times New Roman"/>
          <w:b/>
          <w:sz w:val="24"/>
        </w:rPr>
        <w:t xml:space="preserve"> </w:t>
      </w:r>
      <w:r>
        <w:rPr>
          <w:rFonts w:ascii="Times New Roman" w:eastAsia="仿宋" w:hAnsi="Times New Roman" w:cs="Times New Roman" w:hint="eastAsia"/>
          <w:b/>
          <w:sz w:val="24"/>
        </w:rPr>
        <w:t>institutions</w:t>
      </w:r>
      <w:r>
        <w:rPr>
          <w:rFonts w:ascii="Times New Roman" w:eastAsia="仿宋" w:hAnsi="Times New Roman" w:cs="Times New Roman"/>
          <w:b/>
          <w:sz w:val="24"/>
        </w:rPr>
        <w:t xml:space="preserve"> should take steps to ‘g</w:t>
      </w:r>
      <w:r w:rsidRPr="00E86882">
        <w:rPr>
          <w:rFonts w:ascii="Times New Roman" w:eastAsia="仿宋" w:hAnsi="Times New Roman" w:cs="Times New Roman"/>
          <w:b/>
          <w:sz w:val="24"/>
        </w:rPr>
        <w:t>reen</w:t>
      </w:r>
      <w:r>
        <w:rPr>
          <w:rFonts w:ascii="Times New Roman" w:eastAsia="仿宋" w:hAnsi="Times New Roman" w:cs="Times New Roman"/>
          <w:b/>
          <w:sz w:val="24"/>
        </w:rPr>
        <w:t>’</w:t>
      </w:r>
      <w:r w:rsidRPr="00E86882">
        <w:rPr>
          <w:rFonts w:ascii="Times New Roman" w:eastAsia="仿宋" w:hAnsi="Times New Roman" w:cs="Times New Roman"/>
          <w:b/>
          <w:sz w:val="24"/>
        </w:rPr>
        <w:t xml:space="preserve"> trade finance and supply chain finance</w:t>
      </w:r>
      <w:r>
        <w:rPr>
          <w:rFonts w:ascii="Times New Roman" w:eastAsia="仿宋" w:hAnsi="Times New Roman" w:cs="Times New Roman"/>
          <w:b/>
          <w:sz w:val="24"/>
        </w:rPr>
        <w:t xml:space="preserve">. </w:t>
      </w:r>
      <w:r w:rsidRPr="00217E2F">
        <w:rPr>
          <w:rFonts w:ascii="Times New Roman" w:eastAsia="仿宋" w:hAnsi="Times New Roman" w:cs="Times New Roman"/>
          <w:sz w:val="24"/>
        </w:rPr>
        <w:t>This can help reduc</w:t>
      </w:r>
      <w:r>
        <w:rPr>
          <w:rFonts w:ascii="Times New Roman" w:eastAsia="仿宋" w:hAnsi="Times New Roman" w:cs="Times New Roman"/>
          <w:sz w:val="24"/>
        </w:rPr>
        <w:t>e</w:t>
      </w:r>
      <w:r w:rsidRPr="00217E2F">
        <w:rPr>
          <w:rFonts w:ascii="Times New Roman" w:eastAsia="仿宋" w:hAnsi="Times New Roman" w:cs="Times New Roman"/>
          <w:sz w:val="24"/>
        </w:rPr>
        <w:t xml:space="preserve"> </w:t>
      </w:r>
      <w:r>
        <w:rPr>
          <w:rFonts w:ascii="Times New Roman" w:eastAsia="仿宋" w:hAnsi="Times New Roman" w:cs="Times New Roman"/>
          <w:sz w:val="24"/>
        </w:rPr>
        <w:t xml:space="preserve">financing </w:t>
      </w:r>
      <w:r w:rsidRPr="00217E2F">
        <w:rPr>
          <w:rFonts w:ascii="Times New Roman" w:eastAsia="仿宋" w:hAnsi="Times New Roman" w:cs="Times New Roman"/>
          <w:sz w:val="24"/>
        </w:rPr>
        <w:t xml:space="preserve">costs and improving access </w:t>
      </w:r>
      <w:r>
        <w:rPr>
          <w:rFonts w:ascii="Times New Roman" w:eastAsia="仿宋" w:hAnsi="Times New Roman" w:cs="Times New Roman"/>
          <w:sz w:val="24"/>
        </w:rPr>
        <w:t xml:space="preserve">to finance </w:t>
      </w:r>
      <w:r w:rsidRPr="00217E2F">
        <w:rPr>
          <w:rFonts w:ascii="Times New Roman" w:eastAsia="仿宋" w:hAnsi="Times New Roman" w:cs="Times New Roman"/>
          <w:sz w:val="24"/>
        </w:rPr>
        <w:t xml:space="preserve">for green suppliers. </w:t>
      </w:r>
      <w:r w:rsidRPr="004772AD">
        <w:rPr>
          <w:rFonts w:ascii="Times New Roman" w:eastAsia="仿宋" w:hAnsi="Times New Roman" w:cs="Times New Roman"/>
          <w:sz w:val="24"/>
        </w:rPr>
        <w:t xml:space="preserve">Financial institutions should carry out </w:t>
      </w:r>
      <w:r>
        <w:rPr>
          <w:rFonts w:ascii="Times New Roman" w:eastAsia="仿宋" w:hAnsi="Times New Roman" w:cs="Times New Roman"/>
          <w:sz w:val="24"/>
        </w:rPr>
        <w:t xml:space="preserve">their </w:t>
      </w:r>
      <w:r w:rsidRPr="004772AD">
        <w:rPr>
          <w:rFonts w:ascii="Times New Roman" w:eastAsia="仿宋" w:hAnsi="Times New Roman" w:cs="Times New Roman"/>
          <w:sz w:val="24"/>
        </w:rPr>
        <w:t xml:space="preserve">risk management </w:t>
      </w:r>
      <w:r>
        <w:rPr>
          <w:rFonts w:ascii="Times New Roman" w:eastAsia="仿宋" w:hAnsi="Times New Roman" w:cs="Times New Roman"/>
          <w:sz w:val="24"/>
        </w:rPr>
        <w:t>efforts based on ‘green features’ of suppl</w:t>
      </w:r>
      <w:r>
        <w:rPr>
          <w:rFonts w:ascii="Times New Roman" w:eastAsia="仿宋" w:hAnsi="Times New Roman" w:cs="Times New Roman" w:hint="eastAsia"/>
          <w:sz w:val="24"/>
        </w:rPr>
        <w:t>iers</w:t>
      </w:r>
      <w:r>
        <w:rPr>
          <w:rFonts w:ascii="Times New Roman" w:eastAsia="仿宋" w:hAnsi="Times New Roman" w:cs="Times New Roman"/>
          <w:sz w:val="24"/>
        </w:rPr>
        <w:t xml:space="preserve">, with a view to </w:t>
      </w:r>
      <w:r w:rsidRPr="004772AD">
        <w:rPr>
          <w:rFonts w:ascii="Times New Roman" w:eastAsia="仿宋" w:hAnsi="Times New Roman" w:cs="Times New Roman"/>
          <w:sz w:val="24"/>
        </w:rPr>
        <w:t>support</w:t>
      </w:r>
      <w:r>
        <w:rPr>
          <w:rFonts w:ascii="Times New Roman" w:eastAsia="仿宋" w:hAnsi="Times New Roman" w:cs="Times New Roman"/>
          <w:sz w:val="24"/>
        </w:rPr>
        <w:t>ing</w:t>
      </w:r>
      <w:r w:rsidRPr="004772AD">
        <w:rPr>
          <w:rFonts w:ascii="Times New Roman" w:eastAsia="仿宋" w:hAnsi="Times New Roman" w:cs="Times New Roman"/>
          <w:sz w:val="24"/>
        </w:rPr>
        <w:t xml:space="preserve"> </w:t>
      </w:r>
      <w:r>
        <w:rPr>
          <w:rFonts w:ascii="Times New Roman" w:eastAsia="仿宋" w:hAnsi="Times New Roman" w:cs="Times New Roman"/>
          <w:sz w:val="24"/>
        </w:rPr>
        <w:t xml:space="preserve">and encouraging </w:t>
      </w:r>
      <w:r w:rsidRPr="004772AD">
        <w:rPr>
          <w:rFonts w:ascii="Times New Roman" w:eastAsia="仿宋" w:hAnsi="Times New Roman" w:cs="Times New Roman"/>
          <w:sz w:val="24"/>
        </w:rPr>
        <w:t>green suppliers</w:t>
      </w:r>
      <w:r>
        <w:rPr>
          <w:rFonts w:ascii="Times New Roman" w:eastAsia="仿宋" w:hAnsi="Times New Roman" w:cs="Times New Roman"/>
          <w:sz w:val="24"/>
        </w:rPr>
        <w:t>.</w:t>
      </w:r>
      <w:r w:rsidRPr="004772AD">
        <w:rPr>
          <w:rFonts w:ascii="Times New Roman" w:eastAsia="仿宋" w:hAnsi="Times New Roman" w:cs="Times New Roman"/>
          <w:sz w:val="24"/>
        </w:rPr>
        <w:t xml:space="preserve"> </w:t>
      </w:r>
      <w:r>
        <w:rPr>
          <w:rFonts w:ascii="Times New Roman" w:eastAsia="仿宋" w:hAnsi="Times New Roman" w:cs="Times New Roman"/>
          <w:sz w:val="24"/>
        </w:rPr>
        <w:t xml:space="preserve">They can </w:t>
      </w:r>
      <w:r w:rsidRPr="004772AD">
        <w:rPr>
          <w:rFonts w:ascii="Times New Roman" w:eastAsia="仿宋" w:hAnsi="Times New Roman" w:cs="Times New Roman"/>
          <w:sz w:val="24"/>
        </w:rPr>
        <w:t>guide</w:t>
      </w:r>
      <w:r>
        <w:rPr>
          <w:rFonts w:ascii="Times New Roman" w:eastAsia="仿宋" w:hAnsi="Times New Roman" w:cs="Times New Roman"/>
          <w:sz w:val="24"/>
        </w:rPr>
        <w:t xml:space="preserve"> </w:t>
      </w:r>
      <w:r w:rsidRPr="004772AD">
        <w:rPr>
          <w:rFonts w:ascii="Times New Roman" w:eastAsia="仿宋" w:hAnsi="Times New Roman" w:cs="Times New Roman"/>
          <w:sz w:val="24"/>
        </w:rPr>
        <w:t xml:space="preserve">customers to strengthen </w:t>
      </w:r>
      <w:r>
        <w:rPr>
          <w:rFonts w:ascii="Times New Roman" w:eastAsia="仿宋" w:hAnsi="Times New Roman" w:cs="Times New Roman"/>
          <w:sz w:val="24"/>
        </w:rPr>
        <w:t xml:space="preserve">their </w:t>
      </w:r>
      <w:r w:rsidRPr="004772AD">
        <w:rPr>
          <w:rFonts w:ascii="Times New Roman" w:eastAsia="仿宋" w:hAnsi="Times New Roman" w:cs="Times New Roman"/>
          <w:sz w:val="24"/>
        </w:rPr>
        <w:t>environme</w:t>
      </w:r>
      <w:r>
        <w:rPr>
          <w:rFonts w:ascii="Times New Roman" w:eastAsia="仿宋" w:hAnsi="Times New Roman" w:cs="Times New Roman"/>
          <w:sz w:val="24"/>
        </w:rPr>
        <w:t>nt and social risk management with respect to</w:t>
      </w:r>
      <w:r w:rsidRPr="004772AD">
        <w:rPr>
          <w:rFonts w:ascii="Times New Roman" w:eastAsia="仿宋" w:hAnsi="Times New Roman" w:cs="Times New Roman"/>
          <w:sz w:val="24"/>
        </w:rPr>
        <w:t xml:space="preserve"> supply chain </w:t>
      </w:r>
      <w:r>
        <w:rPr>
          <w:rFonts w:ascii="Times New Roman" w:eastAsia="仿宋" w:hAnsi="Times New Roman" w:cs="Times New Roman"/>
          <w:sz w:val="24"/>
        </w:rPr>
        <w:t xml:space="preserve">management, which will in turn help promote a </w:t>
      </w:r>
      <w:r w:rsidRPr="004772AD">
        <w:rPr>
          <w:rFonts w:ascii="Times New Roman" w:eastAsia="仿宋" w:hAnsi="Times New Roman" w:cs="Times New Roman"/>
          <w:sz w:val="24"/>
        </w:rPr>
        <w:t>green transformation</w:t>
      </w:r>
      <w:r>
        <w:rPr>
          <w:rFonts w:ascii="Times New Roman" w:eastAsia="仿宋" w:hAnsi="Times New Roman" w:cs="Times New Roman"/>
          <w:sz w:val="24"/>
        </w:rPr>
        <w:t xml:space="preserve"> of their businesses. Financial institutions can also</w:t>
      </w:r>
      <w:r w:rsidRPr="004772AD">
        <w:rPr>
          <w:rFonts w:ascii="Times New Roman" w:eastAsia="仿宋" w:hAnsi="Times New Roman" w:cs="Times New Roman"/>
          <w:sz w:val="24"/>
        </w:rPr>
        <w:t xml:space="preserve"> actively </w:t>
      </w:r>
      <w:r>
        <w:rPr>
          <w:rFonts w:ascii="Times New Roman" w:eastAsia="仿宋" w:hAnsi="Times New Roman" w:cs="Times New Roman"/>
          <w:sz w:val="24"/>
        </w:rPr>
        <w:t>develop</w:t>
      </w:r>
      <w:r w:rsidRPr="004772AD">
        <w:rPr>
          <w:rFonts w:ascii="Times New Roman" w:eastAsia="仿宋" w:hAnsi="Times New Roman" w:cs="Times New Roman"/>
          <w:sz w:val="24"/>
        </w:rPr>
        <w:t xml:space="preserve"> </w:t>
      </w:r>
      <w:r>
        <w:rPr>
          <w:rFonts w:ascii="Times New Roman" w:eastAsia="仿宋" w:hAnsi="Times New Roman" w:cs="Times New Roman"/>
          <w:sz w:val="24"/>
        </w:rPr>
        <w:t xml:space="preserve">innovative financial products and services that will facilitate the greening of all steps in the process: the </w:t>
      </w:r>
      <w:r w:rsidRPr="004772AD">
        <w:rPr>
          <w:rFonts w:ascii="Times New Roman" w:eastAsia="仿宋" w:hAnsi="Times New Roman" w:cs="Times New Roman"/>
          <w:sz w:val="24"/>
        </w:rPr>
        <w:t>supply chain, production, procurement and consumption.</w:t>
      </w:r>
    </w:p>
    <w:p w14:paraId="017BC24D" w14:textId="77777777" w:rsidR="00CF0AC1" w:rsidRPr="00700269" w:rsidRDefault="00CF0AC1" w:rsidP="00CF0AC1">
      <w:pPr>
        <w:pStyle w:val="af1"/>
        <w:ind w:firstLine="480"/>
        <w:rPr>
          <w:rFonts w:ascii="Times New Roman" w:eastAsia="仿宋" w:hAnsi="Times New Roman" w:cs="Times New Roman"/>
          <w:noProof/>
          <w:sz w:val="24"/>
        </w:rPr>
      </w:pPr>
    </w:p>
    <w:p w14:paraId="03D9B7D4" w14:textId="45E56795" w:rsidR="00CF0AC1" w:rsidRPr="00700269" w:rsidRDefault="00CF0AC1" w:rsidP="00CF0AC1">
      <w:pPr>
        <w:pStyle w:val="af1"/>
        <w:numPr>
          <w:ilvl w:val="0"/>
          <w:numId w:val="2"/>
        </w:numPr>
        <w:ind w:firstLineChars="0"/>
        <w:rPr>
          <w:rFonts w:ascii="Times New Roman" w:eastAsia="仿宋" w:hAnsi="Times New Roman" w:cs="Times New Roman"/>
          <w:sz w:val="24"/>
        </w:rPr>
      </w:pPr>
      <w:r w:rsidRPr="00520DD7">
        <w:rPr>
          <w:rFonts w:ascii="Times New Roman" w:eastAsia="仿宋" w:hAnsi="Times New Roman" w:cs="Times New Roman"/>
          <w:b/>
          <w:noProof/>
          <w:sz w:val="24"/>
        </w:rPr>
        <w:t xml:space="preserve">The Green Finance Committee (GFC) of China Society for Finance and Banking and Investment Association of China (IAC), together with China Banking Association (CBA), Asset Management Association of China (AMAC), </w:t>
      </w:r>
      <w:r w:rsidR="00106769" w:rsidRPr="00520DD7">
        <w:rPr>
          <w:rFonts w:ascii="Times New Roman" w:eastAsia="仿宋" w:hAnsi="Times New Roman" w:cs="Times New Roman"/>
          <w:b/>
          <w:noProof/>
          <w:sz w:val="24"/>
        </w:rPr>
        <w:t>Insurance Asset Management Association of China (IAMAC)</w:t>
      </w:r>
      <w:r w:rsidR="00106769">
        <w:rPr>
          <w:rFonts w:ascii="Times New Roman" w:eastAsia="仿宋" w:hAnsi="Times New Roman" w:cs="Times New Roman" w:hint="eastAsia"/>
          <w:b/>
          <w:noProof/>
          <w:sz w:val="24"/>
        </w:rPr>
        <w:t>，</w:t>
      </w:r>
      <w:r w:rsidRPr="00520DD7">
        <w:rPr>
          <w:rFonts w:ascii="Times New Roman" w:eastAsia="仿宋" w:hAnsi="Times New Roman" w:cs="Times New Roman"/>
          <w:b/>
          <w:noProof/>
          <w:sz w:val="24"/>
        </w:rPr>
        <w:t xml:space="preserve">China Trustee Association (CTA), the Foreign Economic Cooperation Office (FECO) of the Ministry of Environment Protection </w:t>
      </w:r>
      <w:r w:rsidRPr="00520DD7">
        <w:rPr>
          <w:rFonts w:ascii="Times New Roman" w:eastAsia="PMingLiU" w:hAnsi="Times New Roman" w:cs="Times New Roman"/>
          <w:b/>
          <w:noProof/>
          <w:sz w:val="24"/>
          <w:lang w:eastAsia="zh-TW"/>
        </w:rPr>
        <w:t xml:space="preserve">and other industrial associations and </w:t>
      </w:r>
      <w:r w:rsidRPr="00520DD7">
        <w:rPr>
          <w:rFonts w:ascii="Times New Roman" w:eastAsia="仿宋" w:hAnsi="Times New Roman" w:cs="Times New Roman"/>
          <w:b/>
          <w:noProof/>
          <w:sz w:val="24"/>
        </w:rPr>
        <w:t>institutions</w:t>
      </w:r>
      <w:r w:rsidRPr="00520DD7">
        <w:rPr>
          <w:rFonts w:ascii="Times New Roman" w:eastAsia="PMingLiU" w:hAnsi="Times New Roman" w:cs="Times New Roman"/>
          <w:b/>
          <w:noProof/>
          <w:sz w:val="24"/>
          <w:lang w:eastAsia="zh-TW"/>
        </w:rPr>
        <w:t xml:space="preserve"> will provide more capacity building services in the area of environmental risk management for financial institutions and enterprises investing </w:t>
      </w:r>
      <w:r w:rsidRPr="00520DD7">
        <w:rPr>
          <w:rFonts w:ascii="Times New Roman" w:eastAsia="PMingLiU" w:hAnsi="Times New Roman" w:cs="Times New Roman"/>
          <w:b/>
          <w:noProof/>
          <w:sz w:val="24"/>
          <w:lang w:eastAsia="zh-TW"/>
        </w:rPr>
        <w:lastRenderedPageBreak/>
        <w:t>overseas.</w:t>
      </w:r>
      <w:r w:rsidRPr="00700269">
        <w:rPr>
          <w:rFonts w:ascii="Times New Roman" w:eastAsia="PMingLiU" w:hAnsi="Times New Roman" w:cs="Times New Roman"/>
          <w:sz w:val="24"/>
          <w:lang w:eastAsia="zh-TW"/>
        </w:rPr>
        <w:t xml:space="preserve"> The green finance service platform, supported by relevant industry associations, will carry out many activities to facilitate these efforts, such as: </w:t>
      </w:r>
      <w:r w:rsidRPr="00700269">
        <w:rPr>
          <w:rFonts w:ascii="Times New Roman" w:eastAsia="PMingLiU" w:hAnsi="Times New Roman" w:cs="Times New Roman"/>
          <w:noProof/>
          <w:sz w:val="24"/>
          <w:lang w:eastAsia="zh-TW"/>
        </w:rPr>
        <w:t>organizing</w:t>
      </w:r>
      <w:r w:rsidRPr="00700269">
        <w:rPr>
          <w:rFonts w:ascii="Times New Roman" w:eastAsia="PMingLiU" w:hAnsi="Times New Roman" w:cs="Times New Roman"/>
          <w:sz w:val="24"/>
          <w:lang w:eastAsia="zh-TW"/>
        </w:rPr>
        <w:t xml:space="preserve"> training programs on green investment and financing; developing case studies on greening overseas investment and environmental risk management manual</w:t>
      </w:r>
      <w:r w:rsidRPr="00700269">
        <w:rPr>
          <w:rFonts w:ascii="Times New Roman" w:hAnsi="Times New Roman" w:cs="Times New Roman"/>
          <w:sz w:val="24"/>
        </w:rPr>
        <w:t xml:space="preserve">s; developing a </w:t>
      </w:r>
      <w:r w:rsidR="00B650D5" w:rsidRPr="00700269">
        <w:rPr>
          <w:rFonts w:ascii="Times New Roman" w:hAnsi="Times New Roman" w:cs="Times New Roman"/>
          <w:sz w:val="24"/>
        </w:rPr>
        <w:t xml:space="preserve">website </w:t>
      </w:r>
      <w:r w:rsidR="00B650D5">
        <w:rPr>
          <w:rFonts w:ascii="Times New Roman" w:hAnsi="Times New Roman" w:cs="Times New Roman"/>
          <w:sz w:val="24"/>
        </w:rPr>
        <w:t xml:space="preserve">for the </w:t>
      </w:r>
      <w:r w:rsidRPr="00700269">
        <w:rPr>
          <w:rFonts w:ascii="Times New Roman" w:hAnsi="Times New Roman" w:cs="Times New Roman"/>
          <w:sz w:val="24"/>
        </w:rPr>
        <w:t xml:space="preserve">“Belt &amp; Road” environmental risk management; </w:t>
      </w:r>
      <w:r w:rsidRPr="00700269">
        <w:rPr>
          <w:rFonts w:ascii="Times New Roman" w:eastAsia="PMingLiU" w:hAnsi="Times New Roman" w:cs="Times New Roman"/>
          <w:sz w:val="24"/>
          <w:lang w:eastAsia="zh-TW"/>
        </w:rPr>
        <w:t xml:space="preserve">and improving information sharing among investors. </w:t>
      </w:r>
      <w:r w:rsidRPr="00700269">
        <w:rPr>
          <w:rFonts w:ascii="Times New Roman" w:hAnsi="Times New Roman" w:cs="Times New Roman"/>
          <w:sz w:val="24"/>
        </w:rPr>
        <w:t xml:space="preserve">Industry associations </w:t>
      </w:r>
      <w:r>
        <w:rPr>
          <w:rFonts w:ascii="Times New Roman" w:hAnsi="Times New Roman" w:cs="Times New Roman"/>
          <w:sz w:val="24"/>
        </w:rPr>
        <w:t xml:space="preserve">should </w:t>
      </w:r>
      <w:r w:rsidRPr="00700269">
        <w:rPr>
          <w:rFonts w:ascii="Times New Roman" w:hAnsi="Times New Roman" w:cs="Times New Roman"/>
          <w:sz w:val="24"/>
        </w:rPr>
        <w:t>also provide guidance on engagement with the international community, NGOs and stakeholders, and to establish quality communication channels for China’s financial institutions and enterprises.</w:t>
      </w:r>
    </w:p>
    <w:p w14:paraId="526DE7CE" w14:textId="77777777" w:rsidR="00CF0AC1" w:rsidRDefault="00CF0AC1" w:rsidP="00CF0AC1">
      <w:pPr>
        <w:pStyle w:val="af1"/>
        <w:adjustRightInd w:val="0"/>
        <w:snapToGrid w:val="0"/>
        <w:ind w:left="1080" w:firstLine="480"/>
        <w:rPr>
          <w:rFonts w:ascii="Times New Roman" w:hAnsi="Times New Roman" w:cs="Times New Roman"/>
          <w:sz w:val="24"/>
        </w:rPr>
      </w:pPr>
    </w:p>
    <w:p w14:paraId="2138C29F" w14:textId="77777777" w:rsidR="00B650D5" w:rsidRDefault="00B650D5" w:rsidP="00CF0AC1">
      <w:pPr>
        <w:pStyle w:val="af1"/>
        <w:adjustRightInd w:val="0"/>
        <w:snapToGrid w:val="0"/>
        <w:ind w:left="1080" w:firstLine="480"/>
        <w:rPr>
          <w:rFonts w:ascii="Times New Roman" w:hAnsi="Times New Roman" w:cs="Times New Roman"/>
          <w:sz w:val="24"/>
        </w:rPr>
      </w:pPr>
    </w:p>
    <w:p w14:paraId="198F01C4" w14:textId="77777777" w:rsidR="00B650D5" w:rsidRDefault="00B650D5" w:rsidP="00CF0AC1">
      <w:pPr>
        <w:pStyle w:val="af1"/>
        <w:adjustRightInd w:val="0"/>
        <w:snapToGrid w:val="0"/>
        <w:ind w:left="1080" w:firstLine="480"/>
        <w:rPr>
          <w:rFonts w:ascii="Times New Roman" w:hAnsi="Times New Roman" w:cs="Times New Roman"/>
          <w:sz w:val="24"/>
        </w:rPr>
      </w:pPr>
    </w:p>
    <w:p w14:paraId="1E4371EE" w14:textId="77777777" w:rsidR="00B650D5" w:rsidRDefault="00B650D5" w:rsidP="00CF0AC1">
      <w:pPr>
        <w:pStyle w:val="af1"/>
        <w:adjustRightInd w:val="0"/>
        <w:snapToGrid w:val="0"/>
        <w:ind w:left="1080" w:firstLine="480"/>
        <w:rPr>
          <w:rFonts w:ascii="Times New Roman" w:hAnsi="Times New Roman" w:cs="Times New Roman"/>
          <w:sz w:val="24"/>
        </w:rPr>
      </w:pPr>
    </w:p>
    <w:p w14:paraId="5D629A1E" w14:textId="77777777" w:rsidR="00CF0AC1" w:rsidRPr="00E86882" w:rsidRDefault="00CF0AC1" w:rsidP="00CC0E8C">
      <w:pPr>
        <w:pStyle w:val="af1"/>
        <w:adjustRightInd w:val="0"/>
        <w:snapToGrid w:val="0"/>
        <w:ind w:firstLine="480"/>
        <w:jc w:val="right"/>
        <w:rPr>
          <w:rFonts w:ascii="Times New Roman" w:hAnsi="Times New Roman" w:cs="Times New Roman"/>
          <w:sz w:val="24"/>
        </w:rPr>
      </w:pPr>
      <w:r w:rsidRPr="00E86882">
        <w:rPr>
          <w:rFonts w:ascii="Times New Roman" w:hAnsi="Times New Roman" w:cs="Times New Roman"/>
          <w:sz w:val="24"/>
        </w:rPr>
        <w:t>Green</w:t>
      </w:r>
      <w:r>
        <w:rPr>
          <w:rFonts w:ascii="Times New Roman" w:hAnsi="Times New Roman" w:cs="Times New Roman"/>
          <w:sz w:val="24"/>
        </w:rPr>
        <w:t xml:space="preserve"> Finance Committee (GFC) of </w:t>
      </w:r>
      <w:r w:rsidRPr="00E86882">
        <w:rPr>
          <w:rFonts w:ascii="Times New Roman" w:hAnsi="Times New Roman" w:cs="Times New Roman"/>
          <w:sz w:val="24"/>
        </w:rPr>
        <w:t>China Society for Finance and Banking</w:t>
      </w:r>
    </w:p>
    <w:p w14:paraId="2ABF480B" w14:textId="77777777" w:rsidR="00CF0AC1" w:rsidRPr="00E86882" w:rsidRDefault="00CF0AC1" w:rsidP="00CC0E8C">
      <w:pPr>
        <w:pStyle w:val="af1"/>
        <w:adjustRightInd w:val="0"/>
        <w:snapToGrid w:val="0"/>
        <w:ind w:firstLine="480"/>
        <w:jc w:val="right"/>
        <w:rPr>
          <w:rFonts w:ascii="Times New Roman" w:hAnsi="Times New Roman" w:cs="Times New Roman"/>
          <w:sz w:val="24"/>
        </w:rPr>
      </w:pPr>
      <w:r w:rsidRPr="00E86882">
        <w:rPr>
          <w:rFonts w:ascii="Times New Roman" w:hAnsi="Times New Roman" w:cs="Times New Roman"/>
          <w:sz w:val="24"/>
        </w:rPr>
        <w:t>Investment Association of China (IAC)</w:t>
      </w:r>
    </w:p>
    <w:p w14:paraId="073B8AFE" w14:textId="77777777" w:rsidR="00CF0AC1" w:rsidRPr="00E86882" w:rsidRDefault="00CF0AC1" w:rsidP="00CC0E8C">
      <w:pPr>
        <w:pStyle w:val="af1"/>
        <w:adjustRightInd w:val="0"/>
        <w:snapToGrid w:val="0"/>
        <w:ind w:firstLine="480"/>
        <w:jc w:val="right"/>
        <w:rPr>
          <w:rFonts w:ascii="Times New Roman" w:hAnsi="Times New Roman" w:cs="Times New Roman"/>
          <w:sz w:val="24"/>
        </w:rPr>
      </w:pPr>
      <w:r w:rsidRPr="00E86882">
        <w:rPr>
          <w:rFonts w:ascii="Times New Roman" w:hAnsi="Times New Roman" w:cs="Times New Roman"/>
          <w:sz w:val="24"/>
        </w:rPr>
        <w:t>China Banking Association (CBA)</w:t>
      </w:r>
    </w:p>
    <w:p w14:paraId="124FE035" w14:textId="77777777" w:rsidR="00106769" w:rsidRDefault="00CF0AC1" w:rsidP="00CC0E8C">
      <w:pPr>
        <w:pStyle w:val="af1"/>
        <w:adjustRightInd w:val="0"/>
        <w:snapToGrid w:val="0"/>
        <w:ind w:firstLine="480"/>
        <w:jc w:val="right"/>
        <w:rPr>
          <w:rFonts w:ascii="Times New Roman" w:hAnsi="Times New Roman" w:cs="Times New Roman"/>
          <w:sz w:val="24"/>
        </w:rPr>
      </w:pPr>
      <w:r w:rsidRPr="00E86882">
        <w:rPr>
          <w:rFonts w:ascii="Times New Roman" w:hAnsi="Times New Roman" w:cs="Times New Roman"/>
          <w:sz w:val="24"/>
        </w:rPr>
        <w:t>Asset Management Association of China (AMAC)</w:t>
      </w:r>
    </w:p>
    <w:p w14:paraId="1D5911FF" w14:textId="77777777" w:rsidR="00CF0AC1" w:rsidRPr="00106769" w:rsidRDefault="00106769" w:rsidP="00CC0E8C">
      <w:pPr>
        <w:pStyle w:val="af1"/>
        <w:adjustRightInd w:val="0"/>
        <w:snapToGrid w:val="0"/>
        <w:ind w:firstLine="480"/>
        <w:jc w:val="right"/>
        <w:rPr>
          <w:rFonts w:ascii="Times New Roman" w:hAnsi="Times New Roman" w:cs="Times New Roman"/>
          <w:sz w:val="24"/>
        </w:rPr>
      </w:pPr>
      <w:r w:rsidRPr="00106769">
        <w:rPr>
          <w:rFonts w:ascii="Times New Roman" w:hAnsi="Times New Roman" w:cs="Times New Roman"/>
          <w:sz w:val="24"/>
        </w:rPr>
        <w:t xml:space="preserve"> </w:t>
      </w:r>
      <w:r w:rsidRPr="00E86882">
        <w:rPr>
          <w:rFonts w:ascii="Times New Roman" w:hAnsi="Times New Roman" w:cs="Times New Roman"/>
          <w:sz w:val="24"/>
        </w:rPr>
        <w:t>Insurance Asset Management Association of China (IAMAC)</w:t>
      </w:r>
    </w:p>
    <w:p w14:paraId="7D1414B6" w14:textId="77777777" w:rsidR="00CF0AC1" w:rsidRPr="00E86882" w:rsidRDefault="00CF0AC1" w:rsidP="00CC0E8C">
      <w:pPr>
        <w:pStyle w:val="af1"/>
        <w:adjustRightInd w:val="0"/>
        <w:snapToGrid w:val="0"/>
        <w:ind w:firstLine="480"/>
        <w:jc w:val="right"/>
        <w:rPr>
          <w:rFonts w:ascii="Times New Roman" w:hAnsi="Times New Roman" w:cs="Times New Roman"/>
          <w:sz w:val="24"/>
        </w:rPr>
      </w:pPr>
      <w:r w:rsidRPr="00E86882">
        <w:rPr>
          <w:rFonts w:ascii="Times New Roman" w:hAnsi="Times New Roman" w:cs="Times New Roman"/>
          <w:sz w:val="24"/>
        </w:rPr>
        <w:t>China Trustee Association (CTA)</w:t>
      </w:r>
    </w:p>
    <w:p w14:paraId="066B8959" w14:textId="77777777" w:rsidR="00CF0AC1" w:rsidRDefault="00CF0AC1" w:rsidP="00CC0E8C">
      <w:pPr>
        <w:pStyle w:val="af1"/>
        <w:adjustRightInd w:val="0"/>
        <w:snapToGrid w:val="0"/>
        <w:ind w:firstLineChars="0" w:firstLine="0"/>
        <w:jc w:val="right"/>
        <w:rPr>
          <w:rFonts w:ascii="Times New Roman" w:hAnsi="Times New Roman" w:cs="Times New Roman"/>
          <w:sz w:val="24"/>
        </w:rPr>
      </w:pPr>
      <w:r w:rsidRPr="00E86882">
        <w:rPr>
          <w:rFonts w:ascii="Times New Roman" w:hAnsi="Times New Roman" w:cs="Times New Roman"/>
          <w:sz w:val="24"/>
        </w:rPr>
        <w:t>Foreign Economic Cooperation Office (FECO) of Ministry of Environment Protection</w:t>
      </w:r>
    </w:p>
    <w:p w14:paraId="6680DF4A" w14:textId="77777777" w:rsidR="00CF0AC1" w:rsidRDefault="00CF0AC1" w:rsidP="00CF0AC1">
      <w:pPr>
        <w:pStyle w:val="af1"/>
        <w:adjustRightInd w:val="0"/>
        <w:snapToGrid w:val="0"/>
        <w:ind w:left="1080" w:firstLineChars="0" w:firstLine="0"/>
        <w:jc w:val="center"/>
        <w:rPr>
          <w:rFonts w:ascii="Times New Roman" w:hAnsi="Times New Roman" w:cs="Times New Roman"/>
          <w:sz w:val="24"/>
        </w:rPr>
      </w:pPr>
    </w:p>
    <w:p w14:paraId="31FDE7D4" w14:textId="77777777" w:rsidR="00B650D5" w:rsidRDefault="00B650D5" w:rsidP="00CF0AC1">
      <w:pPr>
        <w:pStyle w:val="af1"/>
        <w:adjustRightInd w:val="0"/>
        <w:snapToGrid w:val="0"/>
        <w:ind w:left="1080" w:firstLineChars="0" w:firstLine="0"/>
        <w:jc w:val="center"/>
        <w:rPr>
          <w:rFonts w:ascii="Times New Roman" w:hAnsi="Times New Roman" w:cs="Times New Roman"/>
          <w:sz w:val="24"/>
        </w:rPr>
      </w:pPr>
    </w:p>
    <w:p w14:paraId="74B38FB2" w14:textId="77777777" w:rsidR="00B650D5" w:rsidRDefault="00B650D5" w:rsidP="00CF0AC1">
      <w:pPr>
        <w:pStyle w:val="af1"/>
        <w:adjustRightInd w:val="0"/>
        <w:snapToGrid w:val="0"/>
        <w:ind w:left="1080" w:firstLineChars="0" w:firstLine="0"/>
        <w:jc w:val="center"/>
        <w:rPr>
          <w:rFonts w:ascii="Times New Roman" w:hAnsi="Times New Roman" w:cs="Times New Roman"/>
          <w:sz w:val="24"/>
        </w:rPr>
      </w:pPr>
    </w:p>
    <w:p w14:paraId="7903106B" w14:textId="77777777" w:rsidR="00CF0AC1" w:rsidRDefault="00CF0AC1" w:rsidP="00CF0AC1">
      <w:pPr>
        <w:pStyle w:val="af1"/>
        <w:adjustRightInd w:val="0"/>
        <w:snapToGrid w:val="0"/>
        <w:ind w:left="1080" w:firstLineChars="0" w:firstLine="0"/>
        <w:jc w:val="right"/>
        <w:rPr>
          <w:rFonts w:ascii="Times New Roman" w:hAnsi="Times New Roman" w:cs="Times New Roman"/>
          <w:sz w:val="24"/>
        </w:rPr>
      </w:pPr>
      <w:r>
        <w:rPr>
          <w:rFonts w:ascii="Times New Roman" w:hAnsi="Times New Roman" w:cs="Times New Roman"/>
          <w:sz w:val="24"/>
        </w:rPr>
        <w:t>September 5, 2017</w:t>
      </w:r>
    </w:p>
    <w:p w14:paraId="0599C05A" w14:textId="77777777" w:rsidR="00B05188" w:rsidRDefault="00B05188">
      <w:pPr>
        <w:widowControl/>
        <w:spacing w:after="5" w:line="250" w:lineRule="auto"/>
        <w:ind w:right="28"/>
        <w:jc w:val="right"/>
        <w:rPr>
          <w:rFonts w:ascii="仿宋" w:eastAsia="仿宋" w:hAnsi="仿宋" w:cstheme="minorBidi"/>
          <w:sz w:val="28"/>
          <w:szCs w:val="28"/>
        </w:rPr>
      </w:pPr>
    </w:p>
    <w:sectPr w:rsidR="00B05188" w:rsidSect="006624F4">
      <w:footerReference w:type="first" r:id="rId9"/>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EF5FC" w14:textId="77777777" w:rsidR="004F3F9F" w:rsidRDefault="004F3F9F">
      <w:r>
        <w:separator/>
      </w:r>
    </w:p>
  </w:endnote>
  <w:endnote w:type="continuationSeparator" w:id="0">
    <w:p w14:paraId="6742BFFC" w14:textId="77777777" w:rsidR="004F3F9F" w:rsidRDefault="004F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DD306" w14:textId="77777777" w:rsidR="00B05188" w:rsidRDefault="00D554D3">
    <w:pPr>
      <w:pStyle w:val="ab"/>
    </w:pPr>
    <w:r>
      <w:rPr>
        <w:noProof/>
      </w:rPr>
      <mc:AlternateContent>
        <mc:Choice Requires="wps">
          <w:drawing>
            <wp:anchor distT="0" distB="0" distL="114300" distR="114300" simplePos="0" relativeHeight="251658240" behindDoc="0" locked="0" layoutInCell="1" allowOverlap="1" wp14:anchorId="3BF3272F" wp14:editId="7A32FD8D">
              <wp:simplePos x="0" y="0"/>
              <wp:positionH relativeFrom="margin">
                <wp:align>center</wp:align>
              </wp:positionH>
              <wp:positionV relativeFrom="paragraph">
                <wp:posOffset>0</wp:posOffset>
              </wp:positionV>
              <wp:extent cx="66675" cy="1612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6675" cy="16129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48A8BC" w14:textId="17139309" w:rsidR="00B05188" w:rsidRDefault="00D554D3">
                          <w:pPr>
                            <w:pStyle w:val="ab"/>
                          </w:pPr>
                          <w:r>
                            <w:rPr>
                              <w:rFonts w:hint="eastAsia"/>
                            </w:rPr>
                            <w:fldChar w:fldCharType="begin"/>
                          </w:r>
                          <w:r>
                            <w:rPr>
                              <w:rFonts w:hint="eastAsia"/>
                            </w:rPr>
                            <w:instrText xml:space="preserve"> PAGE  \* MERGEFORMAT </w:instrText>
                          </w:r>
                          <w:r>
                            <w:rPr>
                              <w:rFonts w:hint="eastAsia"/>
                            </w:rPr>
                            <w:fldChar w:fldCharType="separate"/>
                          </w:r>
                          <w:r w:rsidR="00CC0E8C">
                            <w:rPr>
                              <w:noProof/>
                            </w:rP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F3272F" id="_x0000_t202" coordsize="21600,21600" o:spt="202" path="m,l,21600r21600,l21600,xe">
              <v:stroke joinstyle="miter"/>
              <v:path gradientshapeok="t" o:connecttype="rect"/>
            </v:shapetype>
            <v:shape id="文本框 1" o:spid="_x0000_s1026" type="#_x0000_t202" style="position:absolute;margin-left:0;margin-top:0;width:5.25pt;height:12.7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" filled="f" fillcolor="white [3201]" stroked="f" strokeweight=".5pt">
              <v:textbox style="mso-fit-shape-to-text:t" inset="0,0,0,0">
                <w:txbxContent>
                  <w:p w14:paraId="0048A8BC" w14:textId="17139309" w:rsidR="00B05188" w:rsidRDefault="00D554D3">
                    <w:pPr>
                      <w:pStyle w:val="ab"/>
                    </w:pPr>
                    <w:r>
                      <w:rPr>
                        <w:rFonts w:hint="eastAsia"/>
                      </w:rPr>
                      <w:fldChar w:fldCharType="begin"/>
                    </w:r>
                    <w:r>
                      <w:rPr>
                        <w:rFonts w:hint="eastAsia"/>
                      </w:rPr>
                      <w:instrText xml:space="preserve"> PAGE  \* MERGEFORMAT </w:instrText>
                    </w:r>
                    <w:r>
                      <w:rPr>
                        <w:rFonts w:hint="eastAsia"/>
                      </w:rPr>
                      <w:fldChar w:fldCharType="separate"/>
                    </w:r>
                    <w:r w:rsidR="00CC0E8C">
                      <w:rPr>
                        <w:noProof/>
                      </w:rPr>
                      <w:t>11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C159" w14:textId="787FCF67" w:rsidR="00F8307A" w:rsidRDefault="00F8307A" w:rsidP="003C7215">
    <w:pPr>
      <w:pStyle w:val="ab"/>
      <w:framePr w:wrap="none"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CC0E8C">
      <w:rPr>
        <w:rStyle w:val="af2"/>
        <w:noProof/>
      </w:rPr>
      <w:t>1</w:t>
    </w:r>
    <w:r>
      <w:rPr>
        <w:rStyle w:val="af2"/>
      </w:rPr>
      <w:fldChar w:fldCharType="end"/>
    </w:r>
  </w:p>
  <w:p w14:paraId="42C83DF6" w14:textId="77777777" w:rsidR="00F8307A" w:rsidRDefault="00F8307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39A49" w14:textId="77777777" w:rsidR="004F3F9F" w:rsidRDefault="004F3F9F">
      <w:r>
        <w:separator/>
      </w:r>
    </w:p>
  </w:footnote>
  <w:footnote w:type="continuationSeparator" w:id="0">
    <w:p w14:paraId="60C634DB" w14:textId="77777777" w:rsidR="004F3F9F" w:rsidRDefault="004F3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441E8"/>
    <w:multiLevelType w:val="singleLevel"/>
    <w:tmpl w:val="582441E8"/>
    <w:lvl w:ilvl="0">
      <w:start w:val="1"/>
      <w:numFmt w:val="chineseCounting"/>
      <w:lvlText w:val="%1、"/>
      <w:lvlJc w:val="left"/>
      <w:pPr>
        <w:ind w:left="420" w:hanging="420"/>
      </w:pPr>
      <w:rPr>
        <w:rFonts w:ascii="Times New Roman" w:hAnsi="Times New Roman"/>
        <w:b/>
        <w:bCs/>
      </w:rPr>
    </w:lvl>
  </w:abstractNum>
  <w:abstractNum w:abstractNumId="1" w15:restartNumberingAfterBreak="0">
    <w:nsid w:val="61C20A24"/>
    <w:multiLevelType w:val="hybridMultilevel"/>
    <w:tmpl w:val="B70AA600"/>
    <w:lvl w:ilvl="0" w:tplc="FB94F140">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1A4C5A"/>
    <w:multiLevelType w:val="hybridMultilevel"/>
    <w:tmpl w:val="B2307248"/>
    <w:lvl w:ilvl="0" w:tplc="C20CEAE4">
      <w:start w:val="1"/>
      <w:numFmt w:val="upperRoman"/>
      <w:lvlText w:val="%1."/>
      <w:lvlJc w:val="left"/>
      <w:pPr>
        <w:ind w:left="1080" w:hanging="720"/>
      </w:pPr>
      <w:rPr>
        <w:rFonts w:eastAsia="PMingLiU"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57:;&gt;?]bc}¢¨°·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EA"/>
    <w:rsid w:val="000163FB"/>
    <w:rsid w:val="000F18E4"/>
    <w:rsid w:val="00106769"/>
    <w:rsid w:val="0013198E"/>
    <w:rsid w:val="00155B45"/>
    <w:rsid w:val="001C344A"/>
    <w:rsid w:val="001E7807"/>
    <w:rsid w:val="00296671"/>
    <w:rsid w:val="002B23F4"/>
    <w:rsid w:val="002D44A8"/>
    <w:rsid w:val="00315381"/>
    <w:rsid w:val="0033016A"/>
    <w:rsid w:val="00471A40"/>
    <w:rsid w:val="004F3F9F"/>
    <w:rsid w:val="005F3982"/>
    <w:rsid w:val="006624F4"/>
    <w:rsid w:val="00673F2E"/>
    <w:rsid w:val="00694D5F"/>
    <w:rsid w:val="006E0FC7"/>
    <w:rsid w:val="00720666"/>
    <w:rsid w:val="007811EC"/>
    <w:rsid w:val="007C638B"/>
    <w:rsid w:val="00882106"/>
    <w:rsid w:val="00892081"/>
    <w:rsid w:val="008A47CD"/>
    <w:rsid w:val="008D2BCA"/>
    <w:rsid w:val="00944772"/>
    <w:rsid w:val="009705F5"/>
    <w:rsid w:val="009A6AB5"/>
    <w:rsid w:val="009C0639"/>
    <w:rsid w:val="009D26D7"/>
    <w:rsid w:val="00A519F4"/>
    <w:rsid w:val="00A61480"/>
    <w:rsid w:val="00B05188"/>
    <w:rsid w:val="00B650D5"/>
    <w:rsid w:val="00BA7EE8"/>
    <w:rsid w:val="00C8664B"/>
    <w:rsid w:val="00CC0E8C"/>
    <w:rsid w:val="00CF0AC1"/>
    <w:rsid w:val="00D2303A"/>
    <w:rsid w:val="00D554D3"/>
    <w:rsid w:val="00D92E93"/>
    <w:rsid w:val="00DF5AD5"/>
    <w:rsid w:val="00E0750B"/>
    <w:rsid w:val="00E42450"/>
    <w:rsid w:val="00E43390"/>
    <w:rsid w:val="00E6158E"/>
    <w:rsid w:val="00F12304"/>
    <w:rsid w:val="00F8307A"/>
    <w:rsid w:val="00FC3EEA"/>
    <w:rsid w:val="00FE0593"/>
    <w:rsid w:val="11AD66A2"/>
    <w:rsid w:val="358C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1EEA25"/>
  <w15:docId w15:val="{9DED3834-57AC-4962-9490-0FFBC90D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等线" w:eastAsia="等线" w:hAnsi="等线" w:cs="等线"/>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Date"/>
    <w:basedOn w:val="a"/>
    <w:next w:val="a"/>
    <w:link w:val="a8"/>
    <w:uiPriority w:val="99"/>
    <w:pPr>
      <w:ind w:leftChars="2500" w:left="100"/>
    </w:pPr>
  </w:style>
  <w:style w:type="paragraph" w:styleId="a9">
    <w:name w:val="Balloon Text"/>
    <w:basedOn w:val="a"/>
    <w:link w:val="aa"/>
    <w:uiPriority w:val="99"/>
    <w:qFormat/>
    <w:rPr>
      <w:sz w:val="18"/>
      <w:szCs w:val="18"/>
    </w:r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qFormat/>
    <w:rPr>
      <w:rFonts w:ascii="Times New Roman" w:hAnsi="Times New Roman" w:cs="Times New Roman"/>
      <w:color w:val="auto"/>
      <w:u w:val="single"/>
    </w:rPr>
  </w:style>
  <w:style w:type="character" w:styleId="af0">
    <w:name w:val="annotation reference"/>
    <w:basedOn w:val="a0"/>
    <w:uiPriority w:val="99"/>
    <w:qFormat/>
    <w:rPr>
      <w:rFonts w:ascii="Times New Roman" w:hAnsi="Times New Roman" w:cs="Times New Roman"/>
      <w:sz w:val="21"/>
      <w:szCs w:val="21"/>
    </w:rPr>
  </w:style>
  <w:style w:type="character" w:customStyle="1" w:styleId="a8">
    <w:name w:val="日期 字符"/>
    <w:basedOn w:val="a0"/>
    <w:link w:val="a7"/>
    <w:uiPriority w:val="99"/>
    <w:rPr>
      <w:rFonts w:ascii="Times New Roman" w:hAnsi="Times New Roman" w:cs="Times New Roman"/>
      <w:sz w:val="24"/>
      <w:szCs w:val="24"/>
    </w:rPr>
  </w:style>
  <w:style w:type="character" w:customStyle="1" w:styleId="ac">
    <w:name w:val="页脚 字符"/>
    <w:basedOn w:val="a0"/>
    <w:link w:val="ab"/>
    <w:uiPriority w:val="99"/>
    <w:qFormat/>
    <w:rPr>
      <w:rFonts w:ascii="Times New Roman" w:hAnsi="Times New Roman" w:cs="Times New Roman"/>
      <w:sz w:val="18"/>
      <w:szCs w:val="18"/>
    </w:rPr>
  </w:style>
  <w:style w:type="character" w:customStyle="1" w:styleId="ae">
    <w:name w:val="页眉 字符"/>
    <w:basedOn w:val="a0"/>
    <w:link w:val="ad"/>
    <w:uiPriority w:val="99"/>
    <w:qFormat/>
    <w:rPr>
      <w:rFonts w:ascii="Times New Roman" w:hAnsi="Times New Roman" w:cs="Times New Roman"/>
      <w:sz w:val="18"/>
      <w:szCs w:val="18"/>
    </w:rPr>
  </w:style>
  <w:style w:type="character" w:customStyle="1" w:styleId="1">
    <w:name w:val="@他1"/>
    <w:basedOn w:val="a0"/>
    <w:uiPriority w:val="99"/>
    <w:qFormat/>
    <w:rPr>
      <w:rFonts w:ascii="Times New Roman" w:hAnsi="Times New Roman" w:cs="Times New Roman"/>
      <w:color w:val="auto"/>
      <w:shd w:val="clear" w:color="auto" w:fill="auto"/>
    </w:rPr>
  </w:style>
  <w:style w:type="paragraph" w:customStyle="1" w:styleId="10">
    <w:name w:val="列出段落1"/>
    <w:basedOn w:val="a"/>
    <w:uiPriority w:val="99"/>
    <w:qFormat/>
    <w:pPr>
      <w:ind w:firstLineChars="200" w:firstLine="420"/>
    </w:pPr>
  </w:style>
  <w:style w:type="character" w:customStyle="1" w:styleId="aa">
    <w:name w:val="批注框文本 字符"/>
    <w:basedOn w:val="a0"/>
    <w:link w:val="a9"/>
    <w:uiPriority w:val="99"/>
    <w:qFormat/>
    <w:rPr>
      <w:rFonts w:ascii="Times New Roman" w:hAnsi="Times New Roman" w:cs="Times New Roman"/>
      <w:kern w:val="2"/>
      <w:sz w:val="18"/>
      <w:szCs w:val="18"/>
    </w:rPr>
  </w:style>
  <w:style w:type="character" w:customStyle="1" w:styleId="a6">
    <w:name w:val="批注文字 字符"/>
    <w:basedOn w:val="a0"/>
    <w:link w:val="a4"/>
    <w:uiPriority w:val="99"/>
    <w:qFormat/>
    <w:rPr>
      <w:rFonts w:ascii="Times New Roman" w:hAnsi="Times New Roman" w:cs="Times New Roman"/>
      <w:kern w:val="2"/>
      <w:sz w:val="24"/>
      <w:szCs w:val="24"/>
    </w:rPr>
  </w:style>
  <w:style w:type="character" w:customStyle="1" w:styleId="a5">
    <w:name w:val="批注主题 字符"/>
    <w:basedOn w:val="a6"/>
    <w:link w:val="a3"/>
    <w:uiPriority w:val="99"/>
    <w:qFormat/>
    <w:rPr>
      <w:rFonts w:ascii="Times New Roman" w:hAnsi="Times New Roman" w:cs="Times New Roman"/>
      <w:b/>
      <w:bCs/>
      <w:kern w:val="2"/>
      <w:sz w:val="24"/>
      <w:szCs w:val="24"/>
    </w:rPr>
  </w:style>
  <w:style w:type="paragraph" w:styleId="af1">
    <w:name w:val="List Paragraph"/>
    <w:basedOn w:val="a"/>
    <w:uiPriority w:val="99"/>
    <w:rsid w:val="00CF0AC1"/>
    <w:pPr>
      <w:ind w:firstLineChars="200" w:firstLine="420"/>
    </w:pPr>
    <w:rPr>
      <w:rFonts w:asciiTheme="minorHAnsi" w:eastAsiaTheme="minorEastAsia" w:hAnsiTheme="minorHAnsi" w:cstheme="minorBidi"/>
      <w:szCs w:val="24"/>
    </w:rPr>
  </w:style>
  <w:style w:type="character" w:styleId="af2">
    <w:name w:val="page number"/>
    <w:basedOn w:val="a0"/>
    <w:uiPriority w:val="99"/>
    <w:semiHidden/>
    <w:unhideWhenUsed/>
    <w:rsid w:val="006624F4"/>
  </w:style>
  <w:style w:type="paragraph" w:styleId="af3">
    <w:name w:val="Revision"/>
    <w:hidden/>
    <w:uiPriority w:val="99"/>
    <w:semiHidden/>
    <w:rsid w:val="00882106"/>
    <w:rPr>
      <w:rFonts w:ascii="等线" w:eastAsia="等线" w:hAnsi="等线" w:cs="等线"/>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2441</Words>
  <Characters>13917</Characters>
  <Application>Microsoft Office Word</Application>
  <DocSecurity>0</DocSecurity>
  <Lines>115</Lines>
  <Paragraphs>32</Paragraphs>
  <ScaleCrop>false</ScaleCrop>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中国对外投资环境风险管理倡议</dc:title>
  <dc:creator>jialong.liu@greenfinance.org.cn</dc:creator>
  <cp:lastModifiedBy>junmainhk@qq.com</cp:lastModifiedBy>
  <cp:revision>2</cp:revision>
  <cp:lastPrinted>2017-08-23T03:43:00Z</cp:lastPrinted>
  <dcterms:created xsi:type="dcterms:W3CDTF">2017-08-31T07:12:00Z</dcterms:created>
  <dcterms:modified xsi:type="dcterms:W3CDTF">2017-08-31T07:12:00Z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