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7F7F7F"/>
          <w:sz w:val="32"/>
          <w:szCs w:val="32"/>
        </w:rPr>
      </w:pPr>
    </w:p>
    <w:p>
      <w:pPr>
        <w:jc w:val="center"/>
        <w:rPr>
          <w:rStyle w:val="14"/>
          <w:rFonts w:ascii="宋体" w:hAnsi="Calibri"/>
          <w:color w:val="auto"/>
          <w:sz w:val="36"/>
          <w:szCs w:val="36"/>
        </w:rPr>
      </w:pPr>
      <w:r>
        <w:rPr>
          <w:rStyle w:val="14"/>
          <w:rFonts w:hint="eastAsia" w:ascii="宋体" w:hAnsi="宋体"/>
          <w:b/>
          <w:bCs/>
          <w:color w:val="auto"/>
          <w:sz w:val="36"/>
          <w:szCs w:val="36"/>
        </w:rPr>
        <w:t>上海金融理财从业人员现状及职业发展之调研</w:t>
      </w:r>
    </w:p>
    <w:p>
      <w:r>
        <w:rPr>
          <w:rFonts w:ascii="宋体" w:hAnsi="宋体"/>
          <w:b/>
          <w:bCs/>
          <w:sz w:val="36"/>
          <w:szCs w:val="36"/>
        </w:rPr>
        <w:t xml:space="preserve"> </w:t>
      </w:r>
    </w:p>
    <w:p>
      <w:pPr>
        <w:rPr>
          <w:rStyle w:val="14"/>
          <w:rFonts w:ascii="宋体" w:hAnsi="Calibri"/>
          <w:color w:val="auto"/>
          <w:sz w:val="30"/>
          <w:szCs w:val="30"/>
        </w:rPr>
      </w:pPr>
      <w:r>
        <w:rPr>
          <w:rStyle w:val="14"/>
          <w:rFonts w:hint="eastAsia" w:ascii="宋体" w:hAnsi="宋体"/>
          <w:b/>
          <w:bCs/>
          <w:color w:val="auto"/>
          <w:sz w:val="30"/>
          <w:szCs w:val="30"/>
        </w:rPr>
        <w:t>目录</w:t>
      </w:r>
    </w:p>
    <w:p>
      <w:pPr>
        <w:rPr>
          <w:rStyle w:val="14"/>
          <w:rFonts w:ascii="宋体" w:hAnsi="Calibri"/>
          <w:b/>
          <w:bCs/>
          <w:color w:val="auto"/>
          <w:sz w:val="30"/>
          <w:szCs w:val="30"/>
          <w:u w:val="none"/>
        </w:rPr>
      </w:pPr>
      <w:r>
        <w:fldChar w:fldCharType="begin"/>
      </w:r>
      <w:r>
        <w:instrText xml:space="preserve"> HYPERLINK \l "_Toc476514940" </w:instrText>
      </w:r>
      <w:r>
        <w:fldChar w:fldCharType="separate"/>
      </w:r>
      <w:r>
        <w:rPr>
          <w:rStyle w:val="14"/>
          <w:rFonts w:hint="eastAsia" w:ascii="宋体" w:hAnsi="宋体"/>
          <w:b/>
          <w:bCs/>
          <w:color w:val="auto"/>
          <w:sz w:val="30"/>
          <w:szCs w:val="30"/>
          <w:u w:val="none"/>
        </w:rPr>
        <w:t>一、调研概况</w:t>
      </w:r>
      <w:r>
        <w:rPr>
          <w:rStyle w:val="14"/>
          <w:rFonts w:ascii="宋体" w:hAnsi="Calibri"/>
          <w:b/>
          <w:bCs/>
          <w:color w:val="auto"/>
          <w:sz w:val="30"/>
          <w:szCs w:val="30"/>
          <w:u w:val="none"/>
        </w:rPr>
        <w:tab/>
      </w:r>
      <w:r>
        <w:rPr>
          <w:rStyle w:val="14"/>
          <w:rFonts w:ascii="宋体" w:hAnsi="宋体"/>
          <w:b/>
          <w:bCs/>
          <w:color w:val="auto"/>
          <w:sz w:val="30"/>
          <w:szCs w:val="30"/>
          <w:u w:val="none"/>
        </w:rPr>
        <w:t>3</w:t>
      </w:r>
      <w:r>
        <w:rPr>
          <w:rStyle w:val="14"/>
          <w:rFonts w:ascii="宋体" w:hAnsi="宋体"/>
          <w:b/>
          <w:bCs/>
          <w:color w:val="auto"/>
          <w:sz w:val="30"/>
          <w:szCs w:val="30"/>
          <w:u w:val="none"/>
        </w:rPr>
        <w:fldChar w:fldCharType="end"/>
      </w:r>
    </w:p>
    <w:p>
      <w:pPr>
        <w:rPr>
          <w:sz w:val="28"/>
          <w:szCs w:val="28"/>
        </w:rPr>
      </w:pPr>
      <w:r>
        <w:fldChar w:fldCharType="begin"/>
      </w:r>
      <w:r>
        <w:instrText xml:space="preserve"> HYPERLINK \l "_Toc476514941" </w:instrText>
      </w:r>
      <w:r>
        <w:fldChar w:fldCharType="separate"/>
      </w:r>
      <w:r>
        <w:rPr>
          <w:rStyle w:val="8"/>
          <w:rFonts w:hint="eastAsia" w:ascii="宋体" w:hAnsi="宋体"/>
          <w:color w:val="auto"/>
          <w:sz w:val="28"/>
          <w:szCs w:val="28"/>
          <w:u w:val="none"/>
        </w:rPr>
        <w:t>（一）调查背景及目的</w:t>
      </w:r>
      <w:r>
        <w:rPr>
          <w:rStyle w:val="8"/>
          <w:rFonts w:ascii="宋体"/>
          <w:color w:val="auto"/>
          <w:sz w:val="28"/>
          <w:szCs w:val="28"/>
          <w:u w:val="none"/>
        </w:rPr>
        <w:tab/>
      </w:r>
      <w:r>
        <w:rPr>
          <w:rStyle w:val="8"/>
          <w:rFonts w:ascii="宋体" w:hAnsi="宋体"/>
          <w:color w:val="auto"/>
          <w:sz w:val="28"/>
          <w:szCs w:val="28"/>
          <w:u w:val="none"/>
        </w:rPr>
        <w:t>3</w:t>
      </w:r>
      <w:r>
        <w:rPr>
          <w:rStyle w:val="8"/>
          <w:rFonts w:ascii="宋体" w:hAnsi="宋体"/>
          <w:color w:val="auto"/>
          <w:sz w:val="28"/>
          <w:szCs w:val="28"/>
          <w:u w:val="none"/>
        </w:rPr>
        <w:fldChar w:fldCharType="end"/>
      </w:r>
    </w:p>
    <w:p>
      <w:pPr>
        <w:rPr>
          <w:rFonts w:ascii="宋体"/>
          <w:sz w:val="28"/>
          <w:szCs w:val="28"/>
        </w:rPr>
      </w:pPr>
      <w:r>
        <w:fldChar w:fldCharType="begin"/>
      </w:r>
      <w:r>
        <w:instrText xml:space="preserve"> HYPERLINK \l "_Toc476514942" </w:instrText>
      </w:r>
      <w:r>
        <w:fldChar w:fldCharType="separate"/>
      </w:r>
      <w:r>
        <w:rPr>
          <w:rStyle w:val="8"/>
          <w:rFonts w:hint="eastAsia" w:ascii="宋体" w:hAnsi="宋体"/>
          <w:color w:val="auto"/>
          <w:sz w:val="28"/>
          <w:szCs w:val="28"/>
          <w:u w:val="none"/>
        </w:rPr>
        <w:t>（二）调查内容</w:t>
      </w:r>
      <w:r>
        <w:rPr>
          <w:rStyle w:val="8"/>
          <w:rFonts w:ascii="宋体"/>
          <w:color w:val="auto"/>
          <w:sz w:val="28"/>
          <w:szCs w:val="28"/>
          <w:u w:val="none"/>
        </w:rPr>
        <w:tab/>
      </w:r>
      <w:r>
        <w:rPr>
          <w:rStyle w:val="8"/>
          <w:rFonts w:ascii="宋体" w:hAnsi="宋体"/>
          <w:color w:val="auto"/>
          <w:sz w:val="28"/>
          <w:szCs w:val="28"/>
          <w:u w:val="none"/>
        </w:rPr>
        <w:t>3</w:t>
      </w:r>
      <w:r>
        <w:rPr>
          <w:rStyle w:val="8"/>
          <w:rFonts w:ascii="宋体"/>
          <w:color w:val="auto"/>
          <w:sz w:val="28"/>
          <w:szCs w:val="28"/>
          <w:u w:val="none"/>
        </w:rPr>
        <w:tab/>
      </w:r>
      <w:r>
        <w:rPr>
          <w:rStyle w:val="8"/>
          <w:rFonts w:ascii="宋体"/>
          <w:color w:val="auto"/>
          <w:sz w:val="28"/>
          <w:szCs w:val="28"/>
          <w:u w:val="none"/>
        </w:rPr>
        <w:fldChar w:fldCharType="end"/>
      </w:r>
    </w:p>
    <w:p>
      <w:pPr>
        <w:rPr>
          <w:rFonts w:ascii="宋体"/>
          <w:sz w:val="28"/>
          <w:szCs w:val="28"/>
        </w:rPr>
      </w:pPr>
      <w:r>
        <w:fldChar w:fldCharType="begin"/>
      </w:r>
      <w:r>
        <w:instrText xml:space="preserve"> HYPERLINK \l "_Toc476514943" </w:instrText>
      </w:r>
      <w:r>
        <w:fldChar w:fldCharType="separate"/>
      </w:r>
      <w:r>
        <w:rPr>
          <w:rStyle w:val="8"/>
          <w:rFonts w:hint="eastAsia" w:ascii="宋体" w:hAnsi="宋体"/>
          <w:color w:val="auto"/>
          <w:sz w:val="28"/>
          <w:szCs w:val="28"/>
          <w:u w:val="none"/>
        </w:rPr>
        <w:t>（三）调查方式</w:t>
      </w:r>
      <w:r>
        <w:rPr>
          <w:rStyle w:val="8"/>
          <w:rFonts w:ascii="宋体"/>
          <w:color w:val="auto"/>
          <w:sz w:val="28"/>
          <w:szCs w:val="28"/>
          <w:u w:val="none"/>
        </w:rPr>
        <w:tab/>
      </w:r>
      <w:r>
        <w:rPr>
          <w:rStyle w:val="8"/>
          <w:rFonts w:ascii="宋体" w:hAnsi="宋体"/>
          <w:color w:val="auto"/>
          <w:sz w:val="28"/>
          <w:szCs w:val="28"/>
          <w:u w:val="none"/>
        </w:rPr>
        <w:t>3</w:t>
      </w:r>
      <w:r>
        <w:rPr>
          <w:rStyle w:val="8"/>
          <w:rFonts w:ascii="宋体"/>
          <w:color w:val="auto"/>
          <w:sz w:val="28"/>
          <w:szCs w:val="28"/>
          <w:u w:val="none"/>
        </w:rPr>
        <w:tab/>
      </w:r>
      <w:r>
        <w:rPr>
          <w:rStyle w:val="8"/>
          <w:rFonts w:ascii="宋体"/>
          <w:color w:val="auto"/>
          <w:sz w:val="28"/>
          <w:szCs w:val="28"/>
          <w:u w:val="none"/>
        </w:rPr>
        <w:fldChar w:fldCharType="end"/>
      </w:r>
    </w:p>
    <w:p>
      <w:pPr>
        <w:rPr>
          <w:rFonts w:ascii="宋体"/>
          <w:sz w:val="28"/>
          <w:szCs w:val="28"/>
        </w:rPr>
      </w:pPr>
      <w:r>
        <w:fldChar w:fldCharType="begin"/>
      </w:r>
      <w:r>
        <w:instrText xml:space="preserve"> HYPERLINK \l "_Toc476514944" </w:instrText>
      </w:r>
      <w:r>
        <w:fldChar w:fldCharType="separate"/>
      </w:r>
      <w:r>
        <w:rPr>
          <w:rStyle w:val="8"/>
          <w:rFonts w:hint="eastAsia" w:ascii="宋体" w:hAnsi="宋体"/>
          <w:color w:val="auto"/>
          <w:sz w:val="28"/>
          <w:szCs w:val="28"/>
          <w:u w:val="none"/>
        </w:rPr>
        <w:t>（四）调查样本</w:t>
      </w:r>
      <w:r>
        <w:rPr>
          <w:rStyle w:val="8"/>
          <w:rFonts w:ascii="宋体"/>
          <w:color w:val="auto"/>
          <w:sz w:val="28"/>
          <w:szCs w:val="28"/>
          <w:u w:val="none"/>
        </w:rPr>
        <w:tab/>
      </w:r>
      <w:r>
        <w:rPr>
          <w:rStyle w:val="8"/>
          <w:rFonts w:ascii="宋体" w:hAnsi="宋体"/>
          <w:color w:val="auto"/>
          <w:sz w:val="28"/>
          <w:szCs w:val="28"/>
          <w:u w:val="none"/>
        </w:rPr>
        <w:t>4</w:t>
      </w:r>
      <w:r>
        <w:rPr>
          <w:rStyle w:val="8"/>
          <w:rFonts w:ascii="宋体"/>
          <w:color w:val="auto"/>
          <w:sz w:val="28"/>
          <w:szCs w:val="28"/>
          <w:u w:val="none"/>
        </w:rPr>
        <w:tab/>
      </w:r>
      <w:r>
        <w:rPr>
          <w:rStyle w:val="8"/>
          <w:rFonts w:ascii="宋体"/>
          <w:color w:val="auto"/>
          <w:sz w:val="28"/>
          <w:szCs w:val="28"/>
          <w:u w:val="none"/>
        </w:rPr>
        <w:fldChar w:fldCharType="end"/>
      </w:r>
    </w:p>
    <w:p>
      <w:pPr>
        <w:rPr>
          <w:rStyle w:val="14"/>
          <w:rFonts w:ascii="宋体" w:hAnsi="Calibri"/>
          <w:b/>
          <w:bCs/>
          <w:color w:val="auto"/>
          <w:sz w:val="30"/>
          <w:szCs w:val="30"/>
          <w:u w:val="none"/>
        </w:rPr>
      </w:pPr>
      <w:r>
        <w:fldChar w:fldCharType="begin"/>
      </w:r>
      <w:r>
        <w:instrText xml:space="preserve"> HYPERLINK \l "_Toc476514945" </w:instrText>
      </w:r>
      <w:r>
        <w:fldChar w:fldCharType="separate"/>
      </w:r>
      <w:r>
        <w:rPr>
          <w:rStyle w:val="14"/>
          <w:rFonts w:hint="eastAsia" w:ascii="宋体" w:hAnsi="宋体"/>
          <w:b/>
          <w:bCs/>
          <w:color w:val="auto"/>
          <w:sz w:val="30"/>
          <w:szCs w:val="30"/>
          <w:u w:val="none"/>
        </w:rPr>
        <w:t>二、数据分析</w:t>
      </w:r>
      <w:r>
        <w:rPr>
          <w:rStyle w:val="14"/>
          <w:rFonts w:ascii="宋体" w:hAnsi="Calibri"/>
          <w:b/>
          <w:bCs/>
          <w:color w:val="auto"/>
          <w:sz w:val="30"/>
          <w:szCs w:val="30"/>
          <w:u w:val="none"/>
        </w:rPr>
        <w:tab/>
      </w:r>
      <w:r>
        <w:rPr>
          <w:rStyle w:val="14"/>
          <w:rFonts w:ascii="宋体" w:hAnsi="宋体"/>
          <w:b/>
          <w:bCs/>
          <w:color w:val="auto"/>
          <w:sz w:val="30"/>
          <w:szCs w:val="30"/>
          <w:u w:val="none"/>
        </w:rPr>
        <w:t>4</w:t>
      </w:r>
      <w:r>
        <w:rPr>
          <w:rStyle w:val="14"/>
          <w:rFonts w:ascii="宋体" w:hAnsi="宋体"/>
          <w:b/>
          <w:bCs/>
          <w:color w:val="auto"/>
          <w:sz w:val="30"/>
          <w:szCs w:val="30"/>
          <w:u w:val="none"/>
        </w:rPr>
        <w:fldChar w:fldCharType="end"/>
      </w:r>
    </w:p>
    <w:p>
      <w:pPr>
        <w:rPr>
          <w:sz w:val="28"/>
          <w:szCs w:val="28"/>
        </w:rPr>
      </w:pPr>
      <w:r>
        <w:fldChar w:fldCharType="begin"/>
      </w:r>
      <w:r>
        <w:instrText xml:space="preserve"> HYPERLINK \l "_Toc476514946" </w:instrText>
      </w:r>
      <w:r>
        <w:fldChar w:fldCharType="separate"/>
      </w:r>
      <w:r>
        <w:rPr>
          <w:rStyle w:val="14"/>
          <w:rFonts w:hint="eastAsia" w:ascii="宋体" w:hAnsi="宋体"/>
          <w:color w:val="auto"/>
          <w:sz w:val="28"/>
          <w:szCs w:val="28"/>
          <w:u w:val="none"/>
        </w:rPr>
        <w:t>（一）</w:t>
      </w:r>
      <w:r>
        <w:rPr>
          <w:rStyle w:val="8"/>
          <w:rFonts w:hint="eastAsia" w:ascii="宋体" w:hAnsi="宋体"/>
          <w:color w:val="auto"/>
          <w:sz w:val="28"/>
          <w:szCs w:val="28"/>
          <w:u w:val="none"/>
        </w:rPr>
        <w:t>金融理财从业人员基本特征</w:t>
      </w:r>
      <w:r>
        <w:rPr>
          <w:rStyle w:val="14"/>
          <w:rFonts w:ascii="宋体" w:hAnsi="Calibri"/>
          <w:color w:val="auto"/>
          <w:sz w:val="28"/>
          <w:szCs w:val="28"/>
          <w:u w:val="none"/>
        </w:rPr>
        <w:tab/>
      </w:r>
      <w:r>
        <w:rPr>
          <w:rStyle w:val="14"/>
          <w:rFonts w:ascii="宋体" w:hAnsi="宋体"/>
          <w:color w:val="auto"/>
          <w:sz w:val="28"/>
          <w:szCs w:val="28"/>
          <w:u w:val="none"/>
        </w:rPr>
        <w:t>4</w:t>
      </w:r>
      <w:r>
        <w:rPr>
          <w:rStyle w:val="14"/>
          <w:rFonts w:ascii="宋体" w:hAnsi="宋体"/>
          <w:color w:val="auto"/>
          <w:sz w:val="28"/>
          <w:szCs w:val="28"/>
          <w:u w:val="none"/>
        </w:rPr>
        <w:fldChar w:fldCharType="end"/>
      </w:r>
    </w:p>
    <w:p>
      <w:pPr>
        <w:rPr>
          <w:rFonts w:ascii="宋体"/>
          <w:sz w:val="28"/>
          <w:szCs w:val="28"/>
        </w:rPr>
      </w:pPr>
      <w:r>
        <w:fldChar w:fldCharType="begin"/>
      </w:r>
      <w:r>
        <w:instrText xml:space="preserve"> HYPERLINK \l "_Toc476514951" </w:instrText>
      </w:r>
      <w:r>
        <w:fldChar w:fldCharType="separate"/>
      </w:r>
      <w:r>
        <w:rPr>
          <w:rStyle w:val="14"/>
          <w:rFonts w:hint="eastAsia" w:ascii="宋体" w:hAnsi="宋体"/>
          <w:color w:val="auto"/>
          <w:sz w:val="28"/>
          <w:szCs w:val="28"/>
          <w:u w:val="none"/>
        </w:rPr>
        <w:t>（二）</w:t>
      </w:r>
      <w:r>
        <w:rPr>
          <w:rStyle w:val="8"/>
          <w:rFonts w:hint="eastAsia" w:ascii="宋体" w:hAnsi="宋体"/>
          <w:color w:val="auto"/>
          <w:sz w:val="28"/>
          <w:szCs w:val="28"/>
          <w:u w:val="none"/>
        </w:rPr>
        <w:t>金融理财从业人员业务能力</w:t>
      </w:r>
      <w:r>
        <w:rPr>
          <w:rStyle w:val="8"/>
          <w:rFonts w:ascii="宋体" w:hAnsi="宋体"/>
          <w:color w:val="auto"/>
          <w:sz w:val="28"/>
          <w:szCs w:val="28"/>
          <w:u w:val="none"/>
        </w:rPr>
        <w:t>8</w:t>
      </w:r>
      <w:r>
        <w:rPr>
          <w:rStyle w:val="14"/>
          <w:rFonts w:ascii="宋体" w:hAnsi="Calibri"/>
          <w:color w:val="auto"/>
          <w:sz w:val="28"/>
          <w:szCs w:val="28"/>
          <w:u w:val="none"/>
        </w:rPr>
        <w:tab/>
      </w:r>
      <w:r>
        <w:rPr>
          <w:rStyle w:val="14"/>
          <w:rFonts w:ascii="宋体" w:hAnsi="Calibri"/>
          <w:color w:val="auto"/>
          <w:sz w:val="28"/>
          <w:szCs w:val="28"/>
          <w:u w:val="none"/>
        </w:rPr>
        <w:fldChar w:fldCharType="end"/>
      </w:r>
    </w:p>
    <w:p>
      <w:pPr>
        <w:rPr>
          <w:rFonts w:ascii="宋体"/>
          <w:sz w:val="28"/>
          <w:szCs w:val="28"/>
        </w:rPr>
      </w:pPr>
      <w:r>
        <w:fldChar w:fldCharType="begin"/>
      </w:r>
      <w:r>
        <w:instrText xml:space="preserve"> HYPERLINK \l "_Toc476514958" </w:instrText>
      </w:r>
      <w:r>
        <w:fldChar w:fldCharType="separate"/>
      </w:r>
      <w:r>
        <w:rPr>
          <w:rStyle w:val="14"/>
          <w:rFonts w:hint="eastAsia" w:ascii="宋体" w:hAnsi="宋体"/>
          <w:color w:val="auto"/>
          <w:sz w:val="28"/>
          <w:szCs w:val="28"/>
          <w:u w:val="none"/>
        </w:rPr>
        <w:t>（三）</w:t>
      </w:r>
      <w:r>
        <w:rPr>
          <w:rStyle w:val="8"/>
          <w:rFonts w:hint="eastAsia" w:ascii="宋体" w:hAnsi="宋体"/>
          <w:color w:val="auto"/>
          <w:sz w:val="28"/>
          <w:szCs w:val="28"/>
          <w:u w:val="none"/>
        </w:rPr>
        <w:t>金融理财机构基本情况</w:t>
      </w:r>
      <w:r>
        <w:rPr>
          <w:rStyle w:val="8"/>
          <w:rFonts w:ascii="宋体" w:hAnsi="宋体"/>
          <w:color w:val="auto"/>
          <w:sz w:val="28"/>
          <w:szCs w:val="28"/>
          <w:u w:val="none"/>
        </w:rPr>
        <w:t>9</w:t>
      </w:r>
      <w:r>
        <w:rPr>
          <w:rStyle w:val="14"/>
          <w:rFonts w:ascii="宋体" w:hAnsi="Calibri"/>
          <w:color w:val="auto"/>
          <w:sz w:val="28"/>
          <w:szCs w:val="28"/>
          <w:u w:val="none"/>
        </w:rPr>
        <w:tab/>
      </w:r>
      <w:r>
        <w:rPr>
          <w:rStyle w:val="14"/>
          <w:rFonts w:ascii="宋体" w:hAnsi="Calibri"/>
          <w:color w:val="auto"/>
          <w:sz w:val="28"/>
          <w:szCs w:val="28"/>
          <w:u w:val="none"/>
        </w:rPr>
        <w:fldChar w:fldCharType="end"/>
      </w:r>
    </w:p>
    <w:p>
      <w:pPr>
        <w:rPr>
          <w:rFonts w:ascii="宋体"/>
          <w:sz w:val="28"/>
          <w:szCs w:val="28"/>
        </w:rPr>
      </w:pPr>
      <w:r>
        <w:rPr>
          <w:rFonts w:hint="eastAsia" w:ascii="宋体" w:hAnsi="宋体"/>
          <w:sz w:val="28"/>
          <w:szCs w:val="28"/>
        </w:rPr>
        <w:t>（四）金融理财从业人员工作状况</w:t>
      </w:r>
      <w:r>
        <w:rPr>
          <w:rFonts w:ascii="宋体" w:hAnsi="宋体"/>
          <w:sz w:val="28"/>
          <w:szCs w:val="28"/>
        </w:rPr>
        <w:t xml:space="preserve"> 11</w:t>
      </w:r>
    </w:p>
    <w:p>
      <w:pPr>
        <w:rPr>
          <w:rFonts w:ascii="宋体"/>
          <w:sz w:val="28"/>
          <w:szCs w:val="28"/>
        </w:rPr>
      </w:pPr>
      <w:r>
        <w:rPr>
          <w:rFonts w:hint="eastAsia" w:ascii="宋体" w:hAnsi="宋体"/>
          <w:sz w:val="28"/>
          <w:szCs w:val="28"/>
        </w:rPr>
        <w:t>（五）金融理财从业人员维护客户情况</w:t>
      </w:r>
      <w:r>
        <w:rPr>
          <w:rFonts w:ascii="宋体" w:hAnsi="宋体"/>
          <w:sz w:val="28"/>
          <w:szCs w:val="28"/>
        </w:rPr>
        <w:t xml:space="preserve"> 15</w:t>
      </w:r>
    </w:p>
    <w:p>
      <w:pPr>
        <w:rPr>
          <w:rFonts w:ascii="宋体"/>
          <w:sz w:val="28"/>
          <w:szCs w:val="28"/>
        </w:rPr>
      </w:pPr>
      <w:r>
        <w:rPr>
          <w:rFonts w:hint="eastAsia" w:ascii="宋体" w:hAnsi="宋体"/>
          <w:sz w:val="28"/>
          <w:szCs w:val="28"/>
        </w:rPr>
        <w:t>（六）金融理财从业人员职业生涯规划</w:t>
      </w:r>
      <w:r>
        <w:rPr>
          <w:rFonts w:ascii="宋体" w:hAnsi="宋体"/>
          <w:b/>
          <w:bCs/>
          <w:sz w:val="28"/>
          <w:szCs w:val="28"/>
        </w:rPr>
        <w:t xml:space="preserve"> </w:t>
      </w:r>
      <w:r>
        <w:rPr>
          <w:rFonts w:ascii="宋体" w:hAnsi="宋体"/>
          <w:sz w:val="28"/>
          <w:szCs w:val="28"/>
        </w:rPr>
        <w:t>21</w:t>
      </w:r>
    </w:p>
    <w:p>
      <w:pPr>
        <w:spacing w:line="360" w:lineRule="auto"/>
        <w:jc w:val="left"/>
        <w:rPr>
          <w:rFonts w:ascii="宋体"/>
          <w:sz w:val="28"/>
          <w:szCs w:val="28"/>
        </w:rPr>
      </w:pPr>
      <w:r>
        <w:rPr>
          <w:rFonts w:hint="eastAsia" w:ascii="宋体" w:hAnsi="宋体"/>
          <w:sz w:val="28"/>
          <w:szCs w:val="28"/>
        </w:rPr>
        <w:t>（七）金融理财行业发展态势</w:t>
      </w:r>
      <w:r>
        <w:rPr>
          <w:rFonts w:ascii="宋体" w:hAnsi="宋体"/>
          <w:sz w:val="28"/>
          <w:szCs w:val="28"/>
        </w:rPr>
        <w:t xml:space="preserve"> 25 </w:t>
      </w:r>
    </w:p>
    <w:p>
      <w:pPr>
        <w:spacing w:line="360" w:lineRule="auto"/>
        <w:jc w:val="left"/>
        <w:rPr>
          <w:rFonts w:ascii="宋体"/>
          <w:b/>
          <w:bCs/>
          <w:sz w:val="28"/>
          <w:szCs w:val="28"/>
        </w:rPr>
      </w:pPr>
      <w:r>
        <w:rPr>
          <w:rFonts w:hint="eastAsia" w:ascii="宋体" w:hAnsi="宋体"/>
          <w:b/>
          <w:bCs/>
          <w:sz w:val="28"/>
          <w:szCs w:val="28"/>
        </w:rPr>
        <w:t>三、主要结论</w:t>
      </w:r>
      <w:r>
        <w:rPr>
          <w:rFonts w:ascii="宋体"/>
          <w:b/>
          <w:bCs/>
          <w:sz w:val="28"/>
          <w:szCs w:val="28"/>
        </w:rPr>
        <w:tab/>
      </w:r>
      <w:r>
        <w:rPr>
          <w:rFonts w:ascii="宋体" w:hAnsi="宋体"/>
          <w:b/>
          <w:bCs/>
          <w:sz w:val="28"/>
          <w:szCs w:val="28"/>
        </w:rPr>
        <w:t>28</w:t>
      </w:r>
    </w:p>
    <w:p>
      <w:pPr>
        <w:spacing w:line="360" w:lineRule="auto"/>
        <w:ind w:right="84"/>
        <w:jc w:val="left"/>
        <w:rPr>
          <w:rFonts w:ascii="宋体"/>
          <w:sz w:val="28"/>
          <w:szCs w:val="28"/>
        </w:rPr>
      </w:pPr>
      <w:r>
        <w:rPr>
          <w:rFonts w:hint="eastAsia" w:ascii="宋体" w:hAnsi="宋体"/>
          <w:sz w:val="28"/>
          <w:szCs w:val="28"/>
        </w:rPr>
        <w:t>（一）金融理财从业人员对目前工作的满意度专业和技能自信度均处于一般水平</w:t>
      </w:r>
      <w:r>
        <w:rPr>
          <w:rFonts w:ascii="宋体" w:hAnsi="宋体"/>
          <w:sz w:val="28"/>
          <w:szCs w:val="28"/>
        </w:rPr>
        <w:t xml:space="preserve"> 29 </w:t>
      </w:r>
    </w:p>
    <w:p>
      <w:pPr>
        <w:spacing w:line="360" w:lineRule="auto"/>
        <w:jc w:val="left"/>
        <w:rPr>
          <w:rFonts w:ascii="宋体"/>
          <w:sz w:val="28"/>
          <w:szCs w:val="28"/>
        </w:rPr>
      </w:pPr>
      <w:r>
        <w:rPr>
          <w:rFonts w:hint="eastAsia" w:ascii="宋体" w:hAnsi="宋体"/>
          <w:sz w:val="28"/>
          <w:szCs w:val="28"/>
        </w:rPr>
        <w:t>（二）社会公众的理财意识有待加强</w:t>
      </w:r>
      <w:r>
        <w:rPr>
          <w:rFonts w:ascii="宋体" w:hAnsi="宋体"/>
          <w:sz w:val="28"/>
          <w:szCs w:val="28"/>
        </w:rPr>
        <w:t xml:space="preserve"> 29</w:t>
      </w:r>
    </w:p>
    <w:p>
      <w:pPr>
        <w:spacing w:line="360" w:lineRule="auto"/>
        <w:jc w:val="left"/>
        <w:rPr>
          <w:rFonts w:ascii="宋体"/>
          <w:sz w:val="28"/>
          <w:szCs w:val="28"/>
        </w:rPr>
      </w:pPr>
      <w:r>
        <w:rPr>
          <w:rFonts w:hint="eastAsia" w:ascii="宋体" w:hAnsi="宋体"/>
          <w:sz w:val="28"/>
          <w:szCs w:val="28"/>
        </w:rPr>
        <w:t>（三）金融理财从业人员认为行业监管方向主要是行业自律组织建设及理财师从业资格准入管理</w:t>
      </w:r>
      <w:r>
        <w:rPr>
          <w:rFonts w:ascii="宋体" w:hAnsi="宋体"/>
          <w:sz w:val="28"/>
          <w:szCs w:val="28"/>
        </w:rPr>
        <w:t xml:space="preserve"> 29</w:t>
      </w:r>
    </w:p>
    <w:p>
      <w:pPr>
        <w:spacing w:line="360" w:lineRule="auto"/>
        <w:ind w:right="84"/>
        <w:jc w:val="left"/>
        <w:rPr>
          <w:rFonts w:ascii="宋体"/>
          <w:sz w:val="28"/>
          <w:szCs w:val="28"/>
        </w:rPr>
      </w:pPr>
      <w:r>
        <w:fldChar w:fldCharType="begin"/>
      </w:r>
      <w:r>
        <w:instrText xml:space="preserve"> HYPERLINK \l "_Toc476514960" </w:instrText>
      </w:r>
      <w:r>
        <w:fldChar w:fldCharType="separate"/>
      </w:r>
      <w:r>
        <w:rPr>
          <w:rStyle w:val="8"/>
          <w:rFonts w:hint="eastAsia" w:ascii="宋体" w:hAnsi="宋体"/>
          <w:b/>
          <w:bCs/>
          <w:color w:val="auto"/>
          <w:sz w:val="28"/>
          <w:szCs w:val="28"/>
          <w:u w:val="none"/>
        </w:rPr>
        <w:t>四</w:t>
      </w:r>
      <w:r>
        <w:rPr>
          <w:rStyle w:val="8"/>
          <w:rFonts w:hint="eastAsia" w:ascii="宋体" w:hAnsi="宋体"/>
          <w:b/>
          <w:bCs/>
          <w:color w:val="auto"/>
          <w:sz w:val="28"/>
          <w:szCs w:val="28"/>
          <w:u w:val="none"/>
        </w:rPr>
        <w:fldChar w:fldCharType="end"/>
      </w:r>
      <w:r>
        <w:rPr>
          <w:rFonts w:hint="eastAsia" w:ascii="宋体" w:hAnsi="宋体"/>
          <w:sz w:val="28"/>
          <w:szCs w:val="28"/>
        </w:rPr>
        <w:t>、</w:t>
      </w:r>
      <w:r>
        <w:rPr>
          <w:rFonts w:hint="eastAsia" w:ascii="宋体" w:hAnsi="宋体"/>
          <w:b/>
          <w:bCs/>
          <w:sz w:val="28"/>
          <w:szCs w:val="28"/>
        </w:rPr>
        <w:t>上海金融理财从业人员职业发展的思考和对策</w:t>
      </w:r>
      <w:r>
        <w:rPr>
          <w:rFonts w:ascii="宋体" w:hAnsi="宋体"/>
          <w:b/>
          <w:bCs/>
          <w:sz w:val="28"/>
          <w:szCs w:val="28"/>
        </w:rPr>
        <w:t xml:space="preserve"> 29</w:t>
      </w:r>
    </w:p>
    <w:p>
      <w:pPr>
        <w:numPr>
          <w:ilvl w:val="0"/>
          <w:numId w:val="1"/>
        </w:numPr>
        <w:rPr>
          <w:rFonts w:ascii="宋体"/>
          <w:sz w:val="28"/>
          <w:szCs w:val="28"/>
        </w:rPr>
      </w:pPr>
      <w:r>
        <w:rPr>
          <w:rFonts w:hint="eastAsia" w:ascii="宋体" w:hAnsi="宋体"/>
          <w:sz w:val="28"/>
          <w:szCs w:val="28"/>
        </w:rPr>
        <w:t>以提升金融理财服务满意度为目标，锻造综合性、专业化的金融理财师队伍</w:t>
      </w:r>
      <w:r>
        <w:rPr>
          <w:rFonts w:ascii="宋体" w:hAnsi="宋体"/>
          <w:sz w:val="28"/>
          <w:szCs w:val="28"/>
        </w:rPr>
        <w:t xml:space="preserve">  30</w:t>
      </w:r>
    </w:p>
    <w:p>
      <w:pPr>
        <w:rPr>
          <w:rFonts w:ascii="宋体"/>
          <w:sz w:val="28"/>
          <w:szCs w:val="28"/>
        </w:rPr>
      </w:pPr>
      <w:r>
        <w:rPr>
          <w:rFonts w:hint="eastAsia" w:ascii="宋体" w:hAnsi="宋体"/>
          <w:sz w:val="28"/>
          <w:szCs w:val="28"/>
        </w:rPr>
        <w:t>（二）以增强金融风险防范意识为重要内容，营造“诚信、公正、高效”的金融理财生态环境</w:t>
      </w:r>
      <w:r>
        <w:rPr>
          <w:rFonts w:ascii="宋体" w:hAnsi="宋体"/>
          <w:sz w:val="28"/>
          <w:szCs w:val="28"/>
        </w:rPr>
        <w:t xml:space="preserve">  33</w:t>
      </w:r>
    </w:p>
    <w:p>
      <w:pPr>
        <w:rPr>
          <w:rFonts w:ascii="宋体"/>
          <w:sz w:val="28"/>
          <w:szCs w:val="28"/>
        </w:rPr>
      </w:pPr>
      <w:r>
        <w:rPr>
          <w:rFonts w:hint="eastAsia" w:ascii="宋体" w:hAnsi="宋体"/>
          <w:sz w:val="28"/>
          <w:szCs w:val="28"/>
        </w:rPr>
        <w:t>（三）以加强行业自律建设为重要途经，打造制度健全、规范化、智能化的金融理财服务平台</w:t>
      </w:r>
      <w:r>
        <w:rPr>
          <w:rFonts w:ascii="宋体" w:hAnsi="宋体"/>
          <w:sz w:val="28"/>
          <w:szCs w:val="28"/>
        </w:rPr>
        <w:t xml:space="preserve">  36</w:t>
      </w:r>
    </w:p>
    <w:p>
      <w:pPr>
        <w:rPr>
          <w:rFonts w:ascii="宋体"/>
          <w:sz w:val="28"/>
          <w:szCs w:val="28"/>
        </w:rPr>
      </w:pPr>
      <w:r>
        <w:rPr>
          <w:rFonts w:ascii="宋体" w:hAnsi="宋体"/>
          <w:sz w:val="28"/>
          <w:szCs w:val="28"/>
        </w:rPr>
        <w:t xml:space="preserve"> </w:t>
      </w:r>
    </w:p>
    <w:p>
      <w:pPr>
        <w:rPr>
          <w:rFonts w:ascii="微软雅黑" w:hAnsi="微软雅黑" w:eastAsia="微软雅黑"/>
        </w:rPr>
      </w:pPr>
      <w:r>
        <w:rPr>
          <w:rFonts w:ascii="微软雅黑" w:hAnsi="微软雅黑" w:eastAsia="微软雅黑"/>
        </w:rPr>
        <w:t xml:space="preserve"> </w:t>
      </w:r>
    </w:p>
    <w:p>
      <w:pPr>
        <w:pStyle w:val="5"/>
        <w:spacing w:before="480" w:after="480" w:line="360" w:lineRule="auto"/>
        <w:outlineLvl w:val="0"/>
        <w:rPr>
          <w:rFonts w:hAnsi="宋体"/>
        </w:rPr>
      </w:pPr>
      <w:r>
        <w:rPr>
          <w:rFonts w:hAnsi="宋体"/>
        </w:rPr>
        <w:t xml:space="preserve"> </w:t>
      </w:r>
    </w:p>
    <w:p>
      <w:pPr>
        <w:rPr>
          <w:rFonts w:ascii="微软雅黑" w:hAnsi="微软雅黑" w:eastAsia="微软雅黑"/>
          <w:b/>
          <w:bCs/>
          <w:sz w:val="32"/>
          <w:szCs w:val="32"/>
        </w:rPr>
      </w:pPr>
      <w:r>
        <w:br w:type="page"/>
      </w:r>
      <w:bookmarkStart w:id="0" w:name="_Toc476514940"/>
      <w:bookmarkEnd w:id="0"/>
      <w:r>
        <w:rPr>
          <w:rFonts w:hint="eastAsia" w:ascii="宋体" w:hAnsi="宋体"/>
          <w:b/>
          <w:bCs/>
          <w:sz w:val="32"/>
          <w:szCs w:val="32"/>
        </w:rPr>
        <w:t>一、调查概况</w:t>
      </w:r>
      <w:bookmarkStart w:id="1" w:name="_Toc476514941"/>
      <w:bookmarkEnd w:id="1"/>
    </w:p>
    <w:p>
      <w:pPr>
        <w:rPr>
          <w:rFonts w:ascii="Cambria" w:hAnsi="宋体"/>
          <w:b/>
          <w:bCs/>
          <w:sz w:val="30"/>
          <w:szCs w:val="30"/>
        </w:rPr>
      </w:pPr>
      <w:r>
        <w:rPr>
          <w:rFonts w:hint="eastAsia" w:ascii="宋体" w:hAnsi="宋体"/>
          <w:b/>
          <w:bCs/>
          <w:sz w:val="30"/>
          <w:szCs w:val="30"/>
        </w:rPr>
        <w:t>（一）调查背景及目的</w:t>
      </w:r>
    </w:p>
    <w:p>
      <w:pPr>
        <w:ind w:firstLine="566"/>
        <w:jc w:val="left"/>
        <w:rPr>
          <w:rFonts w:hAnsi="宋体"/>
          <w:sz w:val="28"/>
          <w:szCs w:val="28"/>
        </w:rPr>
      </w:pPr>
      <w:r>
        <w:rPr>
          <w:rFonts w:hAnsi="宋体"/>
          <w:sz w:val="28"/>
          <w:szCs w:val="28"/>
        </w:rPr>
        <w:t>2017</w:t>
      </w:r>
      <w:r>
        <w:rPr>
          <w:rFonts w:hint="eastAsia" w:ascii="宋体" w:hAnsi="宋体"/>
          <w:sz w:val="28"/>
          <w:szCs w:val="28"/>
        </w:rPr>
        <w:t>年</w:t>
      </w:r>
      <w:r>
        <w:rPr>
          <w:rFonts w:cs="Calibri"/>
          <w:sz w:val="28"/>
          <w:szCs w:val="28"/>
        </w:rPr>
        <w:t>7</w:t>
      </w:r>
      <w:r>
        <w:rPr>
          <w:rFonts w:hint="eastAsia" w:ascii="宋体" w:hAnsi="宋体"/>
          <w:sz w:val="28"/>
          <w:szCs w:val="28"/>
        </w:rPr>
        <w:t>月的全国金融工作会议，明确了服务实体经济、防控金融风险、深化金融改革三大主要任务，金融安全是国家安全的重要组成部分，其重要性不言而喻。上海金融理财师协会（以下简称协会）在</w:t>
      </w:r>
      <w:r>
        <w:rPr>
          <w:rFonts w:cs="Calibri"/>
          <w:sz w:val="28"/>
          <w:szCs w:val="28"/>
        </w:rPr>
        <w:t>2016</w:t>
      </w:r>
      <w:r>
        <w:rPr>
          <w:rFonts w:hint="eastAsia" w:ascii="宋体" w:hAnsi="宋体"/>
          <w:sz w:val="28"/>
          <w:szCs w:val="28"/>
        </w:rPr>
        <w:t>年</w:t>
      </w:r>
      <w:r>
        <w:rPr>
          <w:rFonts w:hint="eastAsia" w:ascii="宋体"/>
          <w:sz w:val="28"/>
          <w:szCs w:val="28"/>
        </w:rPr>
        <w:t>“</w:t>
      </w:r>
      <w:r>
        <w:rPr>
          <w:rFonts w:hint="eastAsia" w:ascii="宋体" w:hAnsi="宋体"/>
          <w:sz w:val="28"/>
          <w:szCs w:val="28"/>
        </w:rPr>
        <w:t>享理财</w:t>
      </w:r>
      <w:r>
        <w:rPr>
          <w:rFonts w:hint="eastAsia" w:ascii="宋体"/>
          <w:sz w:val="28"/>
          <w:szCs w:val="28"/>
        </w:rPr>
        <w:t>·</w:t>
      </w:r>
      <w:r>
        <w:rPr>
          <w:rFonts w:hint="eastAsia" w:ascii="宋体" w:hAnsi="宋体"/>
          <w:sz w:val="28"/>
          <w:szCs w:val="28"/>
        </w:rPr>
        <w:t>防风险</w:t>
      </w:r>
      <w:r>
        <w:rPr>
          <w:rFonts w:hint="eastAsia" w:ascii="宋体"/>
          <w:sz w:val="28"/>
          <w:szCs w:val="28"/>
        </w:rPr>
        <w:t>”</w:t>
      </w:r>
      <w:r>
        <w:rPr>
          <w:rFonts w:hint="eastAsia" w:ascii="宋体" w:hAnsi="宋体"/>
          <w:sz w:val="28"/>
          <w:szCs w:val="28"/>
        </w:rPr>
        <w:t>金融理财服务大赛的基础上，以坚持金融安全防范风险为主题，</w:t>
      </w:r>
      <w:r>
        <w:rPr>
          <w:rFonts w:cs="Calibri"/>
          <w:sz w:val="28"/>
          <w:szCs w:val="28"/>
        </w:rPr>
        <w:t>2017</w:t>
      </w:r>
      <w:r>
        <w:rPr>
          <w:rFonts w:hint="eastAsia" w:ascii="宋体" w:hAnsi="宋体"/>
          <w:sz w:val="28"/>
          <w:szCs w:val="28"/>
        </w:rPr>
        <w:t>年开展了</w:t>
      </w:r>
      <w:r>
        <w:rPr>
          <w:rFonts w:hint="eastAsia" w:ascii="宋体"/>
          <w:sz w:val="28"/>
          <w:szCs w:val="28"/>
        </w:rPr>
        <w:t>“</w:t>
      </w:r>
      <w:r>
        <w:rPr>
          <w:rFonts w:hint="eastAsia" w:ascii="宋体" w:hAnsi="宋体"/>
          <w:sz w:val="28"/>
          <w:szCs w:val="28"/>
        </w:rPr>
        <w:t>防风险</w:t>
      </w:r>
      <w:r>
        <w:rPr>
          <w:rFonts w:hint="eastAsia" w:ascii="宋体"/>
          <w:sz w:val="28"/>
          <w:szCs w:val="28"/>
        </w:rPr>
        <w:t>·</w:t>
      </w:r>
      <w:r>
        <w:rPr>
          <w:rFonts w:hint="eastAsia" w:ascii="宋体" w:hAnsi="宋体"/>
          <w:sz w:val="28"/>
          <w:szCs w:val="28"/>
        </w:rPr>
        <w:t>强技能</w:t>
      </w:r>
      <w:r>
        <w:rPr>
          <w:rFonts w:hint="eastAsia" w:ascii="宋体"/>
          <w:sz w:val="28"/>
          <w:szCs w:val="28"/>
        </w:rPr>
        <w:t>”</w:t>
      </w:r>
      <w:r>
        <w:rPr>
          <w:rFonts w:hint="eastAsia" w:ascii="宋体" w:hAnsi="宋体"/>
          <w:sz w:val="28"/>
          <w:szCs w:val="28"/>
        </w:rPr>
        <w:t>金融服务大赛，进一步增强金融理财师的风险防范意识和职业技能，关注金融理财从业人员队伍的能力建设。</w:t>
      </w:r>
    </w:p>
    <w:p>
      <w:pPr>
        <w:ind w:firstLine="566"/>
        <w:jc w:val="left"/>
        <w:rPr>
          <w:rFonts w:hAnsi="宋体"/>
          <w:sz w:val="28"/>
          <w:szCs w:val="28"/>
        </w:rPr>
      </w:pPr>
      <w:r>
        <w:rPr>
          <w:rFonts w:hint="eastAsia" w:ascii="宋体" w:hAnsi="宋体"/>
          <w:sz w:val="28"/>
          <w:szCs w:val="28"/>
        </w:rPr>
        <w:t>协会与上海市质协用户评价中心联合开展《上海金融理财从业人员现状及职业发展之调研》专项调查，了解目前金融理财从业人员的职业现状和发展，加强金融理财从业人员队伍专业化、规范化建设，为理财从业人员规划职业生涯提供帮助。</w:t>
      </w:r>
      <w:bookmarkStart w:id="2" w:name="_Toc476514942"/>
      <w:bookmarkEnd w:id="2"/>
    </w:p>
    <w:p>
      <w:pPr>
        <w:jc w:val="left"/>
        <w:rPr>
          <w:rFonts w:hAnsi="宋体"/>
          <w:b/>
          <w:bCs/>
          <w:sz w:val="30"/>
          <w:szCs w:val="30"/>
        </w:rPr>
      </w:pPr>
      <w:r>
        <w:rPr>
          <w:rFonts w:hint="eastAsia" w:ascii="宋体" w:hAnsi="宋体"/>
          <w:b/>
          <w:bCs/>
          <w:sz w:val="30"/>
          <w:szCs w:val="30"/>
        </w:rPr>
        <w:t>（二）调查内容</w:t>
      </w:r>
    </w:p>
    <w:p>
      <w:pPr>
        <w:autoSpaceDE w:val="0"/>
        <w:autoSpaceDN w:val="0"/>
        <w:spacing w:line="560" w:lineRule="exact"/>
        <w:ind w:firstLine="560"/>
        <w:rPr>
          <w:rFonts w:ascii="微软雅黑" w:hAnsi="微软雅黑" w:eastAsia="微软雅黑"/>
          <w:sz w:val="28"/>
          <w:szCs w:val="28"/>
        </w:rPr>
      </w:pPr>
      <w:r>
        <w:rPr>
          <w:rFonts w:hint="eastAsia" w:ascii="宋体" w:hAnsi="宋体"/>
          <w:sz w:val="28"/>
          <w:szCs w:val="28"/>
        </w:rPr>
        <w:t>本次金融理财从业人员职业现状调查面向本市主要金融机构从业人员，侧重理财从业人员职业生存状态，内部环境的稳定和满意度，探索金融理财的人才队伍建设的需求，通过对理财从业人员的岗位现状、专业水平、从业能力及职业规划等方面的问卷调查</w:t>
      </w:r>
      <w:bookmarkStart w:id="3" w:name="调查方式"/>
      <w:bookmarkEnd w:id="3"/>
      <w:r>
        <w:rPr>
          <w:rFonts w:hint="eastAsia" w:ascii="宋体" w:hAnsi="宋体"/>
          <w:sz w:val="28"/>
          <w:szCs w:val="28"/>
        </w:rPr>
        <w:t>，助力行业发展和金融创新，为深化上海金融改革发展添力。</w:t>
      </w:r>
    </w:p>
    <w:p>
      <w:pPr>
        <w:autoSpaceDE w:val="0"/>
        <w:autoSpaceDN w:val="0"/>
        <w:spacing w:line="560" w:lineRule="exact"/>
        <w:rPr>
          <w:rFonts w:ascii="宋体"/>
          <w:b/>
          <w:bCs/>
          <w:sz w:val="30"/>
          <w:szCs w:val="30"/>
        </w:rPr>
      </w:pPr>
      <w:r>
        <w:rPr>
          <w:rFonts w:hint="eastAsia" w:ascii="宋体" w:hAnsi="宋体"/>
          <w:b/>
          <w:bCs/>
          <w:sz w:val="30"/>
          <w:szCs w:val="30"/>
        </w:rPr>
        <w:t>（三）调查方式</w:t>
      </w:r>
    </w:p>
    <w:p>
      <w:pPr>
        <w:autoSpaceDE w:val="0"/>
        <w:autoSpaceDN w:val="0"/>
        <w:spacing w:line="560" w:lineRule="exact"/>
        <w:ind w:firstLine="563"/>
        <w:rPr>
          <w:rFonts w:ascii="宋体"/>
          <w:color w:val="000000"/>
          <w:sz w:val="28"/>
          <w:szCs w:val="28"/>
        </w:rPr>
      </w:pPr>
      <w:r>
        <w:rPr>
          <w:rFonts w:hint="eastAsia" w:ascii="宋体" w:hAnsi="宋体"/>
          <w:sz w:val="28"/>
          <w:szCs w:val="28"/>
        </w:rPr>
        <w:t>本次调查依托协会微信公众号、协会会员单位内部平台等</w:t>
      </w:r>
      <w:r>
        <w:rPr>
          <w:rFonts w:hint="eastAsia" w:ascii="宋体" w:hAnsi="宋体"/>
          <w:color w:val="000000"/>
          <w:sz w:val="28"/>
          <w:szCs w:val="28"/>
        </w:rPr>
        <w:t>推送调查问卷，</w:t>
      </w:r>
      <w:r>
        <w:rPr>
          <w:rFonts w:hint="eastAsia" w:ascii="宋体" w:hAnsi="宋体"/>
          <w:sz w:val="28"/>
          <w:szCs w:val="28"/>
        </w:rPr>
        <w:t>在线电子数据平台收集信息，达到</w:t>
      </w:r>
      <w:r>
        <w:rPr>
          <w:rFonts w:hint="eastAsia" w:ascii="宋体" w:hAnsi="宋体"/>
          <w:color w:val="000000"/>
          <w:sz w:val="28"/>
          <w:szCs w:val="28"/>
        </w:rPr>
        <w:t>快速高效地实现信息采集、扩大调查覆盖面、提升调查精度的目的。</w:t>
      </w:r>
      <w:bookmarkStart w:id="4" w:name="_Toc476514944"/>
      <w:r>
        <w:rPr>
          <w:rFonts w:hint="eastAsia" w:ascii="宋体" w:hAnsi="宋体"/>
          <w:color w:val="000000"/>
          <w:sz w:val="28"/>
          <w:szCs w:val="28"/>
        </w:rPr>
        <w:t>在调查数据形成后，召开业内相关专家和资深理财人员座谈会，就金融理财从业人员职业发展听取意见和建议。</w:t>
      </w:r>
      <w:bookmarkEnd w:id="4"/>
    </w:p>
    <w:p>
      <w:pPr>
        <w:autoSpaceDE w:val="0"/>
        <w:autoSpaceDN w:val="0"/>
        <w:spacing w:line="560" w:lineRule="exact"/>
        <w:rPr>
          <w:rFonts w:ascii="宋体"/>
          <w:b/>
          <w:bCs/>
          <w:sz w:val="30"/>
          <w:szCs w:val="30"/>
        </w:rPr>
      </w:pPr>
      <w:r>
        <w:rPr>
          <w:rFonts w:hint="eastAsia" w:ascii="宋体" w:hAnsi="宋体"/>
          <w:b/>
          <w:bCs/>
          <w:sz w:val="30"/>
          <w:szCs w:val="30"/>
        </w:rPr>
        <w:t>（四）调查样本</w:t>
      </w:r>
    </w:p>
    <w:p>
      <w:pPr>
        <w:ind w:firstLine="560"/>
        <w:rPr>
          <w:rFonts w:ascii="宋体"/>
          <w:sz w:val="28"/>
          <w:szCs w:val="28"/>
        </w:rPr>
      </w:pPr>
      <w:r>
        <w:rPr>
          <w:rFonts w:hint="eastAsia" w:ascii="宋体" w:hAnsi="宋体"/>
          <w:sz w:val="28"/>
          <w:szCs w:val="28"/>
        </w:rPr>
        <w:t>本次调查问卷发放对象为上海市金融行业理财从业人员，共采集有效样本量</w:t>
      </w:r>
      <w:r>
        <w:rPr>
          <w:rFonts w:ascii="宋体" w:hAnsi="宋体"/>
          <w:sz w:val="28"/>
          <w:szCs w:val="28"/>
        </w:rPr>
        <w:t>1578</w:t>
      </w:r>
      <w:r>
        <w:rPr>
          <w:rFonts w:hint="eastAsia" w:ascii="宋体" w:hAnsi="宋体"/>
          <w:sz w:val="28"/>
          <w:szCs w:val="28"/>
        </w:rPr>
        <w:t>份。其中，样本性别分布女性比重要高于男性，女性比例为</w:t>
      </w:r>
      <w:r>
        <w:rPr>
          <w:rFonts w:ascii="宋体" w:hAnsi="宋体"/>
          <w:sz w:val="28"/>
          <w:szCs w:val="28"/>
        </w:rPr>
        <w:t>58.4%</w:t>
      </w:r>
      <w:r>
        <w:rPr>
          <w:rFonts w:hint="eastAsia" w:ascii="宋体" w:hAnsi="宋体"/>
          <w:sz w:val="28"/>
          <w:szCs w:val="28"/>
        </w:rPr>
        <w:t>，男性比例为</w:t>
      </w:r>
      <w:r>
        <w:rPr>
          <w:rFonts w:ascii="宋体" w:hAnsi="宋体"/>
          <w:sz w:val="28"/>
          <w:szCs w:val="28"/>
        </w:rPr>
        <w:t>41.6%</w:t>
      </w:r>
      <w:r>
        <w:rPr>
          <w:rFonts w:hint="eastAsia" w:ascii="宋体" w:hAnsi="宋体"/>
          <w:sz w:val="28"/>
          <w:szCs w:val="28"/>
        </w:rPr>
        <w:t>；年龄在</w:t>
      </w:r>
      <w:r>
        <w:rPr>
          <w:rFonts w:ascii="宋体" w:hAnsi="宋体"/>
          <w:sz w:val="28"/>
          <w:szCs w:val="28"/>
        </w:rPr>
        <w:t>26-30</w:t>
      </w:r>
      <w:r>
        <w:rPr>
          <w:rFonts w:hint="eastAsia" w:ascii="宋体" w:hAnsi="宋体"/>
          <w:sz w:val="28"/>
          <w:szCs w:val="28"/>
        </w:rPr>
        <w:t>岁和</w:t>
      </w:r>
      <w:r>
        <w:rPr>
          <w:rFonts w:ascii="宋体" w:hAnsi="宋体"/>
          <w:sz w:val="28"/>
          <w:szCs w:val="28"/>
        </w:rPr>
        <w:t>31-40</w:t>
      </w:r>
      <w:r>
        <w:rPr>
          <w:rFonts w:hint="eastAsia" w:ascii="宋体" w:hAnsi="宋体"/>
          <w:sz w:val="28"/>
          <w:szCs w:val="28"/>
        </w:rPr>
        <w:t>岁的人占大多数，分别为</w:t>
      </w:r>
      <w:r>
        <w:rPr>
          <w:rFonts w:ascii="宋体" w:hAnsi="宋体"/>
          <w:sz w:val="28"/>
          <w:szCs w:val="28"/>
        </w:rPr>
        <w:t>35.9%</w:t>
      </w:r>
      <w:r>
        <w:rPr>
          <w:rFonts w:hint="eastAsia" w:ascii="宋体" w:hAnsi="宋体"/>
          <w:sz w:val="28"/>
          <w:szCs w:val="28"/>
        </w:rPr>
        <w:t>和</w:t>
      </w:r>
      <w:r>
        <w:rPr>
          <w:rFonts w:ascii="宋体" w:hAnsi="宋体"/>
          <w:sz w:val="28"/>
          <w:szCs w:val="28"/>
        </w:rPr>
        <w:t>41.4%</w:t>
      </w:r>
      <w:r>
        <w:rPr>
          <w:rFonts w:hint="eastAsia" w:ascii="宋体" w:hAnsi="宋体"/>
          <w:sz w:val="28"/>
          <w:szCs w:val="28"/>
        </w:rPr>
        <w:t>；学历程度覆盖所有学历，其中学历为本科的占大多数，为</w:t>
      </w:r>
      <w:r>
        <w:rPr>
          <w:rFonts w:ascii="宋体" w:hAnsi="宋体"/>
          <w:sz w:val="28"/>
          <w:szCs w:val="28"/>
        </w:rPr>
        <w:t>80.9%</w:t>
      </w:r>
      <w:r>
        <w:rPr>
          <w:rFonts w:hint="eastAsia" w:ascii="宋体" w:hAnsi="宋体"/>
          <w:sz w:val="28"/>
          <w:szCs w:val="28"/>
        </w:rPr>
        <w:t>，拥有博士学历的从业人员的比例最小，为</w:t>
      </w:r>
      <w:r>
        <w:rPr>
          <w:rFonts w:ascii="宋体" w:hAnsi="宋体"/>
          <w:sz w:val="28"/>
          <w:szCs w:val="28"/>
        </w:rPr>
        <w:t>0.4%</w:t>
      </w:r>
      <w:r>
        <w:rPr>
          <w:rFonts w:hint="eastAsia" w:ascii="宋体" w:hAnsi="宋体"/>
          <w:sz w:val="28"/>
          <w:szCs w:val="28"/>
        </w:rPr>
        <w:t>；所属机构主要集中在银行和证券，分别占到</w:t>
      </w:r>
      <w:r>
        <w:rPr>
          <w:rFonts w:ascii="宋体" w:hAnsi="宋体"/>
          <w:sz w:val="28"/>
          <w:szCs w:val="28"/>
        </w:rPr>
        <w:t>63.9%</w:t>
      </w:r>
      <w:r>
        <w:rPr>
          <w:rFonts w:hint="eastAsia" w:ascii="宋体" w:hAnsi="宋体"/>
          <w:sz w:val="28"/>
          <w:szCs w:val="28"/>
        </w:rPr>
        <w:t>和</w:t>
      </w:r>
      <w:r>
        <w:rPr>
          <w:rFonts w:ascii="宋体" w:hAnsi="宋体"/>
          <w:sz w:val="28"/>
          <w:szCs w:val="28"/>
        </w:rPr>
        <w:t>16.8%</w:t>
      </w:r>
      <w:r>
        <w:rPr>
          <w:rFonts w:hint="eastAsia" w:ascii="宋体" w:hAnsi="宋体"/>
          <w:sz w:val="28"/>
          <w:szCs w:val="28"/>
        </w:rPr>
        <w:t>。</w:t>
      </w:r>
    </w:p>
    <w:p>
      <w:pPr>
        <w:ind w:firstLine="560"/>
        <w:rPr>
          <w:rFonts w:ascii="宋体"/>
          <w:sz w:val="28"/>
          <w:szCs w:val="28"/>
        </w:rPr>
      </w:pPr>
      <w:r>
        <w:rPr>
          <w:rFonts w:ascii="宋体" w:hAnsi="宋体"/>
          <w:sz w:val="28"/>
          <w:szCs w:val="28"/>
        </w:rPr>
        <w:t xml:space="preserve"> </w:t>
      </w:r>
    </w:p>
    <w:p>
      <w:pPr>
        <w:rPr>
          <w:rFonts w:ascii="宋体"/>
          <w:b/>
          <w:bCs/>
          <w:sz w:val="32"/>
          <w:szCs w:val="32"/>
        </w:rPr>
      </w:pPr>
      <w:r>
        <w:rPr>
          <w:rFonts w:hint="eastAsia" w:ascii="宋体" w:hAnsi="宋体"/>
          <w:b/>
          <w:bCs/>
          <w:sz w:val="32"/>
          <w:szCs w:val="32"/>
        </w:rPr>
        <w:t>二、数据分析</w:t>
      </w:r>
    </w:p>
    <w:p>
      <w:pPr>
        <w:rPr>
          <w:rFonts w:ascii="宋体"/>
          <w:b/>
          <w:bCs/>
          <w:sz w:val="30"/>
          <w:szCs w:val="30"/>
        </w:rPr>
      </w:pPr>
      <w:r>
        <w:rPr>
          <w:rFonts w:hint="eastAsia" w:ascii="宋体" w:hAnsi="宋体"/>
          <w:b/>
          <w:bCs/>
          <w:sz w:val="30"/>
          <w:szCs w:val="30"/>
        </w:rPr>
        <w:t>（一）金融理财从业人员基本特征</w:t>
      </w:r>
    </w:p>
    <w:p>
      <w:pPr>
        <w:spacing w:line="360" w:lineRule="auto"/>
        <w:rPr>
          <w:rFonts w:hAnsi="宋体"/>
          <w:b/>
          <w:bCs/>
          <w:sz w:val="28"/>
          <w:szCs w:val="28"/>
        </w:rPr>
      </w:pPr>
      <w:r>
        <w:rPr>
          <w:rFonts w:hAnsi="宋体"/>
          <w:b/>
          <w:bCs/>
          <w:sz w:val="28"/>
          <w:szCs w:val="28"/>
        </w:rPr>
        <w:t>1</w:t>
      </w:r>
      <w:r>
        <w:rPr>
          <w:rFonts w:hint="eastAsia" w:ascii="宋体" w:hAnsi="宋体"/>
          <w:b/>
          <w:bCs/>
          <w:sz w:val="28"/>
          <w:szCs w:val="28"/>
        </w:rPr>
        <w:t>、性别比</w:t>
      </w:r>
    </w:p>
    <w:p>
      <w:pPr>
        <w:spacing w:line="360" w:lineRule="auto"/>
        <w:rPr>
          <w:rFonts w:hAnsi="宋体"/>
          <w:sz w:val="28"/>
          <w:szCs w:val="28"/>
        </w:rPr>
      </w:pPr>
      <w:r>
        <w:rPr>
          <w:rFonts w:hAnsi="宋体"/>
          <w:sz w:val="28"/>
          <w:szCs w:val="28"/>
        </w:rPr>
        <w:t xml:space="preserve">    </w:t>
      </w:r>
      <w:r>
        <w:rPr>
          <w:rFonts w:hint="eastAsia" w:ascii="宋体" w:hAnsi="宋体"/>
          <w:sz w:val="28"/>
          <w:szCs w:val="28"/>
        </w:rPr>
        <w:t>从调查结果来看，上海金融理财从业人员的女性比重高于男性。其中，女性比例为</w:t>
      </w:r>
      <w:r>
        <w:rPr>
          <w:rFonts w:hAnsi="宋体"/>
          <w:sz w:val="28"/>
          <w:szCs w:val="28"/>
        </w:rPr>
        <w:t>58.4%</w:t>
      </w:r>
      <w:r>
        <w:rPr>
          <w:rFonts w:hint="eastAsia" w:ascii="宋体" w:hAnsi="宋体"/>
          <w:sz w:val="28"/>
          <w:szCs w:val="28"/>
        </w:rPr>
        <w:t>，男性比例为</w:t>
      </w:r>
      <w:r>
        <w:rPr>
          <w:rFonts w:cs="Calibri"/>
          <w:sz w:val="28"/>
          <w:szCs w:val="28"/>
        </w:rPr>
        <w:t>41.6%</w:t>
      </w:r>
      <w:r>
        <w:rPr>
          <w:rFonts w:hint="eastAsia" w:ascii="宋体" w:hAnsi="宋体"/>
          <w:sz w:val="28"/>
          <w:szCs w:val="28"/>
        </w:rPr>
        <w:t>，详见下图。</w:t>
      </w:r>
    </w:p>
    <w:p>
      <w:pPr>
        <w:spacing w:line="360" w:lineRule="auto"/>
        <w:jc w:val="center"/>
        <w:rPr>
          <w:rFonts w:hAnsi="宋体"/>
        </w:rPr>
      </w:pPr>
      <w:r>
        <w:pict>
          <v:shape id="_x0000_i1025" o:spt="75" type="#_x0000_t75" style="height:192.75pt;width:311.25pt;" filled="f" o:preferrelative="t" stroked="f" coordsize="21600,21600">
            <v:path/>
            <v:fill on="f" focussize="0,0"/>
            <v:stroke on="f" joinstyle="miter"/>
            <v:imagedata r:id="rId6"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1 </w:t>
      </w:r>
      <w:r>
        <w:rPr>
          <w:rFonts w:hint="eastAsia" w:ascii="宋体" w:hAnsi="宋体"/>
          <w:b/>
          <w:bCs/>
          <w:sz w:val="21"/>
          <w:szCs w:val="21"/>
        </w:rPr>
        <w:t>上海金融理财从业人员性别比例图</w:t>
      </w:r>
    </w:p>
    <w:p>
      <w:pPr>
        <w:spacing w:line="360" w:lineRule="auto"/>
        <w:rPr>
          <w:rFonts w:ascii="宋体"/>
          <w:b/>
          <w:bCs/>
          <w:sz w:val="28"/>
          <w:szCs w:val="28"/>
        </w:rPr>
      </w:pPr>
      <w:r>
        <w:rPr>
          <w:rFonts w:ascii="宋体" w:hAnsi="宋体"/>
          <w:b/>
          <w:bCs/>
          <w:sz w:val="28"/>
          <w:szCs w:val="28"/>
        </w:rPr>
        <w:t>2</w:t>
      </w:r>
      <w:r>
        <w:rPr>
          <w:rFonts w:hint="eastAsia" w:ascii="宋体" w:hAnsi="宋体"/>
          <w:b/>
          <w:bCs/>
          <w:sz w:val="28"/>
          <w:szCs w:val="28"/>
        </w:rPr>
        <w:t>、年龄</w:t>
      </w:r>
    </w:p>
    <w:p>
      <w:pPr>
        <w:spacing w:line="360" w:lineRule="auto"/>
        <w:ind w:firstLine="560"/>
        <w:rPr>
          <w:rFonts w:ascii="宋体"/>
          <w:sz w:val="28"/>
          <w:szCs w:val="28"/>
        </w:rPr>
      </w:pPr>
      <w:r>
        <w:rPr>
          <w:rFonts w:hint="eastAsia" w:ascii="宋体" w:hAnsi="宋体"/>
          <w:sz w:val="28"/>
          <w:szCs w:val="28"/>
        </w:rPr>
        <w:t>从调查结果来看，上海金融理财从业人员的年龄在</w:t>
      </w:r>
      <w:r>
        <w:rPr>
          <w:rFonts w:ascii="宋体" w:hAnsi="宋体"/>
          <w:sz w:val="28"/>
          <w:szCs w:val="28"/>
        </w:rPr>
        <w:t>26-30</w:t>
      </w:r>
      <w:r>
        <w:rPr>
          <w:rFonts w:hint="eastAsia" w:ascii="宋体" w:hAnsi="宋体"/>
          <w:sz w:val="28"/>
          <w:szCs w:val="28"/>
        </w:rPr>
        <w:t>岁和</w:t>
      </w:r>
      <w:r>
        <w:rPr>
          <w:rFonts w:ascii="宋体" w:hAnsi="宋体"/>
          <w:sz w:val="28"/>
          <w:szCs w:val="28"/>
        </w:rPr>
        <w:t>31-40</w:t>
      </w:r>
      <w:r>
        <w:rPr>
          <w:rFonts w:hint="eastAsia" w:ascii="宋体" w:hAnsi="宋体"/>
          <w:sz w:val="28"/>
          <w:szCs w:val="28"/>
        </w:rPr>
        <w:t>岁的人占大多数，分别为</w:t>
      </w:r>
      <w:r>
        <w:rPr>
          <w:rFonts w:ascii="宋体" w:hAnsi="宋体"/>
          <w:sz w:val="28"/>
          <w:szCs w:val="28"/>
        </w:rPr>
        <w:t>35.9%</w:t>
      </w:r>
      <w:r>
        <w:rPr>
          <w:rFonts w:hint="eastAsia" w:ascii="宋体" w:hAnsi="宋体"/>
          <w:sz w:val="28"/>
          <w:szCs w:val="28"/>
        </w:rPr>
        <w:t>和</w:t>
      </w:r>
      <w:r>
        <w:rPr>
          <w:rFonts w:ascii="宋体" w:hAnsi="宋体"/>
          <w:sz w:val="28"/>
          <w:szCs w:val="28"/>
        </w:rPr>
        <w:t>41.4%</w:t>
      </w:r>
      <w:r>
        <w:rPr>
          <w:rFonts w:hint="eastAsia" w:ascii="宋体" w:hAnsi="宋体"/>
          <w:sz w:val="28"/>
          <w:szCs w:val="28"/>
        </w:rPr>
        <w:t>，其余年龄分布详见下图。</w:t>
      </w:r>
    </w:p>
    <w:p>
      <w:pPr>
        <w:spacing w:line="360" w:lineRule="auto"/>
        <w:jc w:val="center"/>
        <w:rPr>
          <w:rFonts w:hAnsi="宋体"/>
        </w:rPr>
      </w:pPr>
      <w:r>
        <w:pict>
          <v:shape id="_x0000_i1026" o:spt="75" type="#_x0000_t75" style="height:216pt;width:360pt;" filled="f" o:preferrelative="t" stroked="f" coordsize="21600,21600">
            <v:path/>
            <v:fill on="f" focussize="0,0"/>
            <v:stroke on="f" joinstyle="miter"/>
            <v:imagedata r:id="rId7"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2 </w:t>
      </w:r>
      <w:r>
        <w:rPr>
          <w:rFonts w:hint="eastAsia" w:ascii="宋体" w:hAnsi="宋体"/>
          <w:b/>
          <w:bCs/>
          <w:sz w:val="21"/>
          <w:szCs w:val="21"/>
        </w:rPr>
        <w:t>上海金融理财从业人员年龄比例图</w:t>
      </w:r>
    </w:p>
    <w:p>
      <w:pPr>
        <w:spacing w:line="360" w:lineRule="auto"/>
        <w:rPr>
          <w:rFonts w:hAnsi="宋体"/>
        </w:rPr>
      </w:pPr>
      <w:r>
        <w:rPr>
          <w:rFonts w:hAnsi="宋体"/>
        </w:rPr>
        <w:t xml:space="preserve"> </w:t>
      </w:r>
    </w:p>
    <w:p>
      <w:pPr>
        <w:numPr>
          <w:ilvl w:val="0"/>
          <w:numId w:val="2"/>
        </w:numPr>
        <w:spacing w:line="360" w:lineRule="auto"/>
        <w:rPr>
          <w:rFonts w:ascii="宋体"/>
          <w:b/>
          <w:bCs/>
          <w:sz w:val="28"/>
          <w:szCs w:val="28"/>
        </w:rPr>
      </w:pPr>
      <w:r>
        <w:rPr>
          <w:rFonts w:hint="eastAsia" w:ascii="宋体" w:hAnsi="宋体"/>
          <w:b/>
          <w:bCs/>
          <w:sz w:val="28"/>
          <w:szCs w:val="28"/>
        </w:rPr>
        <w:t>学历</w:t>
      </w:r>
    </w:p>
    <w:p>
      <w:pPr>
        <w:spacing w:line="360" w:lineRule="auto"/>
        <w:ind w:firstLine="560"/>
        <w:rPr>
          <w:rFonts w:ascii="宋体"/>
          <w:b/>
          <w:bCs/>
          <w:sz w:val="28"/>
          <w:szCs w:val="28"/>
        </w:rPr>
      </w:pPr>
      <w:r>
        <w:rPr>
          <w:rFonts w:hint="eastAsia" w:ascii="宋体" w:hAnsi="宋体"/>
          <w:sz w:val="28"/>
          <w:szCs w:val="28"/>
        </w:rPr>
        <w:t>从调查结果来看，上海金融理财从业人员学历为本科的占大多数，为</w:t>
      </w:r>
      <w:r>
        <w:rPr>
          <w:rFonts w:ascii="宋体" w:hAnsi="宋体"/>
          <w:sz w:val="28"/>
          <w:szCs w:val="28"/>
        </w:rPr>
        <w:t>80.9%</w:t>
      </w:r>
      <w:r>
        <w:rPr>
          <w:rFonts w:hint="eastAsia" w:ascii="宋体" w:hAnsi="宋体"/>
          <w:sz w:val="28"/>
          <w:szCs w:val="28"/>
        </w:rPr>
        <w:t>，其中拥有博士学历的从业人员的比例最小，为</w:t>
      </w:r>
      <w:r>
        <w:rPr>
          <w:rFonts w:ascii="宋体" w:hAnsi="宋体"/>
          <w:sz w:val="28"/>
          <w:szCs w:val="28"/>
        </w:rPr>
        <w:t>0.4%</w:t>
      </w:r>
      <w:r>
        <w:rPr>
          <w:rFonts w:hint="eastAsia" w:ascii="宋体" w:hAnsi="宋体"/>
          <w:sz w:val="28"/>
          <w:szCs w:val="28"/>
        </w:rPr>
        <w:t>。其余学历分布详见下图。</w:t>
      </w:r>
    </w:p>
    <w:p>
      <w:pPr>
        <w:spacing w:line="360" w:lineRule="auto"/>
        <w:jc w:val="center"/>
        <w:rPr>
          <w:rFonts w:hAnsi="宋体"/>
        </w:rPr>
      </w:pPr>
      <w:r>
        <w:pict>
          <v:shape id="_x0000_i1027" o:spt="75" type="#_x0000_t75" style="height:195.75pt;width:333.75pt;" filled="f" o:preferrelative="t" stroked="f" coordsize="21600,21600">
            <v:path/>
            <v:fill on="f" focussize="0,0"/>
            <v:stroke on="f" joinstyle="miter"/>
            <v:imagedata r:id="rId8"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3 </w:t>
      </w:r>
      <w:r>
        <w:rPr>
          <w:rFonts w:hint="eastAsia" w:ascii="宋体" w:hAnsi="宋体"/>
          <w:b/>
          <w:bCs/>
          <w:sz w:val="21"/>
          <w:szCs w:val="21"/>
        </w:rPr>
        <w:t>上海金融理财从业人员学历分布比例图</w:t>
      </w:r>
    </w:p>
    <w:p>
      <w:pPr>
        <w:numPr>
          <w:ilvl w:val="0"/>
          <w:numId w:val="2"/>
        </w:numPr>
        <w:spacing w:line="360" w:lineRule="auto"/>
        <w:rPr>
          <w:rFonts w:ascii="宋体"/>
          <w:b/>
          <w:bCs/>
          <w:sz w:val="28"/>
          <w:szCs w:val="28"/>
        </w:rPr>
      </w:pPr>
      <w:r>
        <w:rPr>
          <w:rFonts w:hint="eastAsia" w:ascii="宋体" w:hAnsi="宋体"/>
          <w:b/>
          <w:bCs/>
          <w:sz w:val="28"/>
          <w:szCs w:val="28"/>
        </w:rPr>
        <w:t>收入</w:t>
      </w:r>
    </w:p>
    <w:p>
      <w:pPr>
        <w:spacing w:line="360" w:lineRule="auto"/>
        <w:ind w:firstLine="560"/>
        <w:rPr>
          <w:rFonts w:ascii="宋体"/>
          <w:b/>
          <w:bCs/>
          <w:sz w:val="28"/>
          <w:szCs w:val="28"/>
        </w:rPr>
      </w:pPr>
      <w:r>
        <w:rPr>
          <w:rFonts w:hint="eastAsia" w:ascii="宋体" w:hAnsi="宋体"/>
          <w:sz w:val="28"/>
          <w:szCs w:val="28"/>
        </w:rPr>
        <w:t>从调查结果来看，上海金融理财从业人员的收入在</w:t>
      </w:r>
      <w:r>
        <w:rPr>
          <w:rFonts w:ascii="宋体" w:hAnsi="宋体"/>
          <w:sz w:val="28"/>
          <w:szCs w:val="28"/>
        </w:rPr>
        <w:t>11-20</w:t>
      </w:r>
      <w:r>
        <w:rPr>
          <w:rFonts w:hint="eastAsia" w:ascii="宋体" w:hAnsi="宋体"/>
          <w:sz w:val="28"/>
          <w:szCs w:val="28"/>
        </w:rPr>
        <w:t>万元的人超过半数，为</w:t>
      </w:r>
      <w:r>
        <w:rPr>
          <w:rFonts w:ascii="宋体" w:hAnsi="宋体"/>
          <w:sz w:val="28"/>
          <w:szCs w:val="28"/>
        </w:rPr>
        <w:t>54.3%</w:t>
      </w:r>
      <w:r>
        <w:rPr>
          <w:rFonts w:hint="eastAsia" w:ascii="宋体" w:hAnsi="宋体"/>
          <w:sz w:val="28"/>
          <w:szCs w:val="28"/>
        </w:rPr>
        <w:t>，其次收入在</w:t>
      </w:r>
      <w:r>
        <w:rPr>
          <w:rFonts w:ascii="宋体" w:hAnsi="宋体"/>
          <w:sz w:val="28"/>
          <w:szCs w:val="28"/>
        </w:rPr>
        <w:t>21-50</w:t>
      </w:r>
      <w:r>
        <w:rPr>
          <w:rFonts w:hint="eastAsia" w:ascii="宋体" w:hAnsi="宋体"/>
          <w:sz w:val="28"/>
          <w:szCs w:val="28"/>
        </w:rPr>
        <w:t>万元和</w:t>
      </w:r>
      <w:r>
        <w:rPr>
          <w:rFonts w:ascii="宋体" w:hAnsi="宋体"/>
          <w:sz w:val="28"/>
          <w:szCs w:val="28"/>
        </w:rPr>
        <w:t>10</w:t>
      </w:r>
      <w:r>
        <w:rPr>
          <w:rFonts w:hint="eastAsia" w:ascii="宋体" w:hAnsi="宋体"/>
          <w:sz w:val="28"/>
          <w:szCs w:val="28"/>
        </w:rPr>
        <w:t>万元及以下的人占比最多，分别为</w:t>
      </w:r>
      <w:r>
        <w:rPr>
          <w:rFonts w:ascii="宋体" w:hAnsi="宋体"/>
          <w:sz w:val="28"/>
          <w:szCs w:val="28"/>
        </w:rPr>
        <w:t>22.6%</w:t>
      </w:r>
      <w:r>
        <w:rPr>
          <w:rFonts w:hint="eastAsia" w:ascii="宋体" w:hAnsi="宋体"/>
          <w:sz w:val="28"/>
          <w:szCs w:val="28"/>
        </w:rPr>
        <w:t>和</w:t>
      </w:r>
      <w:r>
        <w:rPr>
          <w:rFonts w:ascii="宋体" w:hAnsi="宋体"/>
          <w:sz w:val="28"/>
          <w:szCs w:val="28"/>
        </w:rPr>
        <w:t>16.9%</w:t>
      </w:r>
      <w:r>
        <w:rPr>
          <w:rFonts w:hint="eastAsia" w:ascii="宋体" w:hAnsi="宋体"/>
          <w:sz w:val="28"/>
          <w:szCs w:val="28"/>
        </w:rPr>
        <w:t>，其余收入分布详见下图。</w:t>
      </w:r>
    </w:p>
    <w:p>
      <w:pPr>
        <w:spacing w:line="360" w:lineRule="auto"/>
        <w:jc w:val="center"/>
        <w:rPr>
          <w:rFonts w:hAnsi="宋体"/>
        </w:rPr>
      </w:pPr>
      <w:r>
        <w:pict>
          <v:shape id="_x0000_i1028" o:spt="75" type="#_x0000_t75" style="height:237.75pt;width:385.5pt;" filled="f" o:preferrelative="t" stroked="f" coordsize="21600,21600">
            <v:path/>
            <v:fill on="f" focussize="0,0"/>
            <v:stroke on="f" joinstyle="miter"/>
            <v:imagedata r:id="rId9"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4 </w:t>
      </w:r>
      <w:r>
        <w:rPr>
          <w:rFonts w:hint="eastAsia" w:ascii="宋体" w:hAnsi="宋体"/>
          <w:b/>
          <w:bCs/>
          <w:sz w:val="21"/>
          <w:szCs w:val="21"/>
        </w:rPr>
        <w:t>上海金融理财从业人员收入比例图</w:t>
      </w:r>
    </w:p>
    <w:p>
      <w:pPr>
        <w:spacing w:line="360" w:lineRule="auto"/>
        <w:rPr>
          <w:rFonts w:ascii="宋体"/>
          <w:b/>
          <w:bCs/>
          <w:sz w:val="28"/>
          <w:szCs w:val="28"/>
        </w:rPr>
      </w:pPr>
      <w:r>
        <w:rPr>
          <w:rFonts w:ascii="宋体" w:hAnsi="宋体"/>
          <w:b/>
          <w:bCs/>
          <w:sz w:val="28"/>
          <w:szCs w:val="28"/>
        </w:rPr>
        <w:t>5</w:t>
      </w:r>
      <w:r>
        <w:rPr>
          <w:rFonts w:hint="eastAsia" w:ascii="宋体" w:hAnsi="宋体"/>
          <w:b/>
          <w:bCs/>
          <w:sz w:val="28"/>
          <w:szCs w:val="28"/>
        </w:rPr>
        <w:t>、所属机构类型</w:t>
      </w:r>
    </w:p>
    <w:p>
      <w:pPr>
        <w:spacing w:line="360" w:lineRule="auto"/>
        <w:ind w:firstLine="465"/>
        <w:rPr>
          <w:rFonts w:ascii="宋体"/>
          <w:sz w:val="28"/>
          <w:szCs w:val="28"/>
        </w:rPr>
      </w:pPr>
      <w:r>
        <w:rPr>
          <w:rFonts w:hint="eastAsia" w:ascii="宋体" w:hAnsi="宋体"/>
          <w:sz w:val="28"/>
          <w:szCs w:val="28"/>
        </w:rPr>
        <w:t>本次调查的上海金融理财从业人员大都在银行和证券机构工作，分别占到</w:t>
      </w:r>
      <w:r>
        <w:rPr>
          <w:rFonts w:ascii="宋体" w:hAnsi="宋体"/>
          <w:sz w:val="28"/>
          <w:szCs w:val="28"/>
        </w:rPr>
        <w:t>63.9%</w:t>
      </w:r>
      <w:r>
        <w:rPr>
          <w:rFonts w:hint="eastAsia" w:ascii="宋体" w:hAnsi="宋体"/>
          <w:sz w:val="28"/>
          <w:szCs w:val="28"/>
        </w:rPr>
        <w:t>和</w:t>
      </w:r>
      <w:r>
        <w:rPr>
          <w:rFonts w:ascii="宋体" w:hAnsi="宋体"/>
          <w:sz w:val="28"/>
          <w:szCs w:val="28"/>
        </w:rPr>
        <w:t>16.8%</w:t>
      </w:r>
      <w:r>
        <w:rPr>
          <w:rFonts w:hint="eastAsia" w:ascii="宋体" w:hAnsi="宋体"/>
          <w:sz w:val="28"/>
          <w:szCs w:val="28"/>
        </w:rPr>
        <w:t>。</w:t>
      </w:r>
    </w:p>
    <w:p>
      <w:pPr>
        <w:spacing w:line="360" w:lineRule="auto"/>
        <w:jc w:val="center"/>
        <w:rPr>
          <w:rFonts w:hAnsi="宋体"/>
        </w:rPr>
      </w:pPr>
      <w:r>
        <w:pict>
          <v:shape id="_x0000_i1029" o:spt="75" type="#_x0000_t75" style="height:533.25pt;width:365.25pt;" filled="f" o:preferrelative="t" stroked="f" coordsize="21600,21600">
            <v:path/>
            <v:fill on="f" focussize="0,0"/>
            <v:stroke on="f" joinstyle="miter"/>
            <v:imagedata r:id="rId10"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5 </w:t>
      </w:r>
      <w:r>
        <w:rPr>
          <w:rFonts w:hint="eastAsia" w:ascii="宋体" w:hAnsi="宋体"/>
          <w:b/>
          <w:bCs/>
          <w:sz w:val="21"/>
          <w:szCs w:val="21"/>
        </w:rPr>
        <w:t>上海金融理财从业人员所属机构比例图</w:t>
      </w:r>
    </w:p>
    <w:p>
      <w:pPr>
        <w:spacing w:line="360" w:lineRule="auto"/>
        <w:jc w:val="center"/>
        <w:rPr>
          <w:rFonts w:hAnsi="宋体"/>
          <w:b/>
          <w:bCs/>
          <w:sz w:val="21"/>
          <w:szCs w:val="21"/>
        </w:rPr>
      </w:pPr>
      <w:r>
        <w:rPr>
          <w:rFonts w:hAnsi="宋体"/>
          <w:b/>
          <w:bCs/>
          <w:sz w:val="21"/>
          <w:szCs w:val="21"/>
        </w:rPr>
        <w:t xml:space="preserve"> </w:t>
      </w:r>
    </w:p>
    <w:p>
      <w:pPr>
        <w:numPr>
          <w:ilvl w:val="0"/>
          <w:numId w:val="3"/>
        </w:numPr>
        <w:spacing w:line="360" w:lineRule="auto"/>
        <w:rPr>
          <w:rFonts w:ascii="宋体"/>
          <w:b/>
          <w:bCs/>
          <w:sz w:val="28"/>
          <w:szCs w:val="28"/>
        </w:rPr>
      </w:pPr>
      <w:r>
        <w:rPr>
          <w:rFonts w:hint="eastAsia" w:ascii="宋体" w:hAnsi="宋体"/>
          <w:b/>
          <w:bCs/>
          <w:sz w:val="28"/>
          <w:szCs w:val="28"/>
        </w:rPr>
        <w:t>从事理财业务年数</w:t>
      </w:r>
    </w:p>
    <w:p>
      <w:pPr>
        <w:spacing w:line="360" w:lineRule="auto"/>
        <w:ind w:firstLine="560"/>
        <w:rPr>
          <w:rFonts w:ascii="宋体"/>
          <w:b/>
          <w:bCs/>
          <w:sz w:val="28"/>
          <w:szCs w:val="28"/>
        </w:rPr>
      </w:pPr>
      <w:r>
        <w:rPr>
          <w:rFonts w:hint="eastAsia" w:ascii="宋体" w:hAnsi="宋体"/>
          <w:sz w:val="28"/>
          <w:szCs w:val="28"/>
        </w:rPr>
        <w:t>从调查结果来看，上海金融理财从业人员的从业年数为</w:t>
      </w:r>
      <w:r>
        <w:rPr>
          <w:rFonts w:ascii="宋体" w:hAnsi="宋体"/>
          <w:sz w:val="28"/>
          <w:szCs w:val="28"/>
        </w:rPr>
        <w:t>2</w:t>
      </w:r>
      <w:r>
        <w:rPr>
          <w:rFonts w:hint="eastAsia" w:ascii="宋体" w:hAnsi="宋体"/>
          <w:sz w:val="28"/>
          <w:szCs w:val="28"/>
        </w:rPr>
        <w:t>（含）</w:t>
      </w:r>
      <w:r>
        <w:rPr>
          <w:rFonts w:ascii="宋体" w:hAnsi="宋体"/>
          <w:sz w:val="28"/>
          <w:szCs w:val="28"/>
        </w:rPr>
        <w:t>-5</w:t>
      </w:r>
      <w:r>
        <w:rPr>
          <w:rFonts w:hint="eastAsia" w:ascii="宋体" w:hAnsi="宋体"/>
          <w:sz w:val="28"/>
          <w:szCs w:val="28"/>
        </w:rPr>
        <w:t>年的人数比例最大，为</w:t>
      </w:r>
      <w:r>
        <w:rPr>
          <w:rFonts w:ascii="宋体" w:hAnsi="宋体"/>
          <w:sz w:val="28"/>
          <w:szCs w:val="28"/>
        </w:rPr>
        <w:t>34.0%</w:t>
      </w:r>
      <w:r>
        <w:rPr>
          <w:rFonts w:hint="eastAsia" w:ascii="宋体" w:hAnsi="宋体"/>
          <w:sz w:val="28"/>
          <w:szCs w:val="28"/>
        </w:rPr>
        <w:t>，其余比例较为均衡，详见下图。</w:t>
      </w:r>
    </w:p>
    <w:p>
      <w:pPr>
        <w:spacing w:line="360" w:lineRule="auto"/>
        <w:jc w:val="center"/>
        <w:rPr>
          <w:rFonts w:hAnsi="宋体"/>
        </w:rPr>
      </w:pPr>
      <w:r>
        <w:pict>
          <v:shape id="_x0000_i1030" o:spt="75" type="#_x0000_t75" style="height:216pt;width:360pt;" filled="f" o:preferrelative="t" stroked="f" coordsize="21600,21600">
            <v:path/>
            <v:fill on="f" focussize="0,0"/>
            <v:stroke on="f" joinstyle="miter"/>
            <v:imagedata r:id="rId11"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6 </w:t>
      </w:r>
      <w:r>
        <w:rPr>
          <w:rFonts w:hint="eastAsia" w:ascii="宋体" w:hAnsi="宋体"/>
          <w:b/>
          <w:bCs/>
          <w:sz w:val="21"/>
          <w:szCs w:val="21"/>
        </w:rPr>
        <w:t>上海金融理财从业人员从业年数比例图</w:t>
      </w:r>
    </w:p>
    <w:p>
      <w:pPr>
        <w:rPr>
          <w:rFonts w:hAnsi="宋体"/>
          <w:sz w:val="30"/>
          <w:szCs w:val="30"/>
        </w:rPr>
      </w:pPr>
      <w:r>
        <w:rPr>
          <w:rFonts w:hint="eastAsia" w:ascii="宋体" w:hAnsi="宋体"/>
          <w:b/>
          <w:bCs/>
          <w:sz w:val="30"/>
          <w:szCs w:val="30"/>
        </w:rPr>
        <w:t>（二）金融理财从业人员业务能力</w:t>
      </w:r>
    </w:p>
    <w:p>
      <w:pPr>
        <w:spacing w:line="360" w:lineRule="auto"/>
        <w:rPr>
          <w:rFonts w:ascii="宋体"/>
          <w:b/>
          <w:bCs/>
          <w:sz w:val="28"/>
          <w:szCs w:val="28"/>
        </w:rPr>
      </w:pPr>
      <w:r>
        <w:rPr>
          <w:rFonts w:ascii="宋体" w:hAnsi="宋体"/>
          <w:b/>
          <w:bCs/>
          <w:sz w:val="28"/>
          <w:szCs w:val="28"/>
        </w:rPr>
        <w:t>1</w:t>
      </w:r>
      <w:r>
        <w:rPr>
          <w:rFonts w:hint="eastAsia" w:ascii="宋体" w:hAnsi="宋体"/>
          <w:b/>
          <w:bCs/>
          <w:sz w:val="28"/>
          <w:szCs w:val="28"/>
        </w:rPr>
        <w:t>、承担团队管理职能的人员比例</w:t>
      </w:r>
    </w:p>
    <w:p>
      <w:pPr>
        <w:spacing w:line="360" w:lineRule="auto"/>
        <w:ind w:firstLine="560"/>
        <w:rPr>
          <w:rFonts w:ascii="宋体"/>
          <w:b/>
          <w:bCs/>
          <w:sz w:val="28"/>
          <w:szCs w:val="28"/>
        </w:rPr>
      </w:pPr>
      <w:r>
        <w:rPr>
          <w:rFonts w:hint="eastAsia" w:ascii="宋体" w:hAnsi="宋体"/>
          <w:sz w:val="28"/>
          <w:szCs w:val="28"/>
        </w:rPr>
        <w:t>从调查结果来看，上海金融理财从业人员承担团队管理职能的人员占</w:t>
      </w:r>
      <w:r>
        <w:rPr>
          <w:rFonts w:ascii="宋体" w:hAnsi="宋体"/>
          <w:sz w:val="28"/>
          <w:szCs w:val="28"/>
        </w:rPr>
        <w:t>35.6%</w:t>
      </w:r>
      <w:r>
        <w:rPr>
          <w:rFonts w:hint="eastAsia" w:ascii="宋体" w:hAnsi="宋体"/>
          <w:sz w:val="28"/>
          <w:szCs w:val="28"/>
        </w:rPr>
        <w:t>，未承担的为</w:t>
      </w:r>
      <w:r>
        <w:rPr>
          <w:rFonts w:ascii="宋体" w:hAnsi="宋体"/>
          <w:sz w:val="28"/>
          <w:szCs w:val="28"/>
        </w:rPr>
        <w:t>64.4%</w:t>
      </w:r>
      <w:r>
        <w:rPr>
          <w:rFonts w:hint="eastAsia" w:ascii="宋体" w:hAnsi="宋体"/>
          <w:sz w:val="28"/>
          <w:szCs w:val="28"/>
        </w:rPr>
        <w:t>，详见下图。</w:t>
      </w:r>
    </w:p>
    <w:p>
      <w:pPr>
        <w:spacing w:line="360" w:lineRule="auto"/>
        <w:jc w:val="center"/>
        <w:rPr>
          <w:rFonts w:hAnsi="宋体"/>
        </w:rPr>
      </w:pPr>
      <w:r>
        <w:pict>
          <v:shape id="_x0000_i1031" o:spt="75" type="#_x0000_t75" style="height:216pt;width:360pt;" filled="f" o:preferrelative="t" stroked="f" coordsize="21600,21600">
            <v:path/>
            <v:fill on="f" focussize="0,0"/>
            <v:stroke on="f" joinstyle="miter"/>
            <v:imagedata r:id="rId12" o:title=""/>
            <o:lock v:ext="edit" aspectratio="t"/>
            <w10:wrap type="none"/>
            <w10:anchorlock/>
          </v:shape>
        </w:pict>
      </w:r>
      <w:r>
        <w:rPr>
          <w:rFonts w:hAnsi="宋体"/>
        </w:rPr>
        <w:t xml:space="preserve"> </w:t>
      </w:r>
    </w:p>
    <w:p>
      <w:pPr>
        <w:spacing w:line="360" w:lineRule="auto"/>
        <w:jc w:val="center"/>
        <w:rPr>
          <w:rFonts w:hAnsi="宋体"/>
          <w:sz w:val="21"/>
          <w:szCs w:val="21"/>
        </w:rPr>
      </w:pPr>
      <w:r>
        <w:rPr>
          <w:rFonts w:hint="eastAsia" w:ascii="宋体" w:hAnsi="宋体"/>
          <w:b/>
          <w:bCs/>
          <w:sz w:val="21"/>
          <w:szCs w:val="21"/>
        </w:rPr>
        <w:t>图</w:t>
      </w:r>
      <w:r>
        <w:rPr>
          <w:rFonts w:hAnsi="宋体"/>
          <w:b/>
          <w:bCs/>
          <w:sz w:val="21"/>
          <w:szCs w:val="21"/>
        </w:rPr>
        <w:t xml:space="preserve">7 </w:t>
      </w:r>
      <w:r>
        <w:rPr>
          <w:rFonts w:hint="eastAsia" w:ascii="宋体" w:hAnsi="宋体"/>
          <w:b/>
          <w:bCs/>
          <w:sz w:val="21"/>
          <w:szCs w:val="21"/>
        </w:rPr>
        <w:t>上海金融理财从业人员承担团队管理职能的人员比例图</w:t>
      </w:r>
    </w:p>
    <w:p>
      <w:pPr>
        <w:spacing w:line="360" w:lineRule="auto"/>
        <w:rPr>
          <w:rFonts w:hAnsi="宋体"/>
        </w:rPr>
      </w:pPr>
      <w:r>
        <w:rPr>
          <w:rFonts w:hAnsi="宋体"/>
        </w:rPr>
        <w:t xml:space="preserve"> </w:t>
      </w:r>
    </w:p>
    <w:p>
      <w:pPr>
        <w:spacing w:line="360" w:lineRule="auto"/>
        <w:rPr>
          <w:rFonts w:ascii="宋体"/>
          <w:b/>
          <w:bCs/>
          <w:sz w:val="28"/>
          <w:szCs w:val="28"/>
        </w:rPr>
      </w:pPr>
      <w:r>
        <w:rPr>
          <w:rFonts w:ascii="宋体" w:hAnsi="宋体"/>
          <w:b/>
          <w:bCs/>
          <w:sz w:val="28"/>
          <w:szCs w:val="28"/>
        </w:rPr>
        <w:t>2</w:t>
      </w:r>
      <w:r>
        <w:rPr>
          <w:rFonts w:hint="eastAsia" w:ascii="宋体" w:hAnsi="宋体"/>
          <w:b/>
          <w:bCs/>
          <w:sz w:val="28"/>
          <w:szCs w:val="28"/>
        </w:rPr>
        <w:t>、拥有从业资格证书比例</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数据分析发现，超过半数的金融理财从业人员拥有从业资格证书，包括基金从业资格证（</w:t>
      </w:r>
      <w:r>
        <w:rPr>
          <w:rFonts w:ascii="宋体" w:hAnsi="宋体"/>
          <w:sz w:val="28"/>
          <w:szCs w:val="28"/>
        </w:rPr>
        <w:t>77.4%</w:t>
      </w:r>
      <w:r>
        <w:rPr>
          <w:rFonts w:hint="eastAsia" w:ascii="宋体" w:hAnsi="宋体"/>
          <w:sz w:val="28"/>
          <w:szCs w:val="28"/>
        </w:rPr>
        <w:t>）、证券从业资格证（</w:t>
      </w:r>
      <w:r>
        <w:rPr>
          <w:rFonts w:ascii="宋体" w:hAnsi="宋体"/>
          <w:sz w:val="28"/>
          <w:szCs w:val="28"/>
        </w:rPr>
        <w:t>61.3%</w:t>
      </w:r>
      <w:r>
        <w:rPr>
          <w:rFonts w:hint="eastAsia" w:ascii="宋体" w:hAnsi="宋体"/>
          <w:sz w:val="28"/>
          <w:szCs w:val="28"/>
        </w:rPr>
        <w:t>）、保险代理人经纪人资格证（</w:t>
      </w:r>
      <w:r>
        <w:rPr>
          <w:rFonts w:ascii="宋体" w:hAnsi="宋体"/>
          <w:sz w:val="28"/>
          <w:szCs w:val="28"/>
        </w:rPr>
        <w:t>57.9%</w:t>
      </w:r>
      <w:r>
        <w:rPr>
          <w:rFonts w:hint="eastAsia" w:ascii="宋体" w:hAnsi="宋体"/>
          <w:sz w:val="28"/>
          <w:szCs w:val="28"/>
        </w:rPr>
        <w:t>）和银行从业资格证（</w:t>
      </w:r>
      <w:r>
        <w:rPr>
          <w:rFonts w:ascii="宋体" w:hAnsi="宋体"/>
          <w:sz w:val="28"/>
          <w:szCs w:val="28"/>
        </w:rPr>
        <w:t>54.1%</w:t>
      </w:r>
      <w:r>
        <w:rPr>
          <w:rFonts w:hint="eastAsia" w:ascii="宋体" w:hAnsi="宋体"/>
          <w:sz w:val="28"/>
          <w:szCs w:val="28"/>
        </w:rPr>
        <w:t>），而理财师证书较少，其中，</w:t>
      </w:r>
      <w:r>
        <w:rPr>
          <w:rFonts w:ascii="宋体" w:hAnsi="宋体"/>
          <w:sz w:val="28"/>
          <w:szCs w:val="28"/>
        </w:rPr>
        <w:t>AFP</w:t>
      </w:r>
      <w:r>
        <w:rPr>
          <w:rFonts w:hint="eastAsia" w:ascii="宋体" w:hAnsi="宋体"/>
          <w:sz w:val="28"/>
          <w:szCs w:val="28"/>
        </w:rPr>
        <w:t>金融理财师证书较多，占</w:t>
      </w:r>
      <w:r>
        <w:rPr>
          <w:rFonts w:ascii="宋体" w:hAnsi="宋体"/>
          <w:sz w:val="28"/>
          <w:szCs w:val="28"/>
        </w:rPr>
        <w:t>9.6%</w:t>
      </w:r>
      <w:r>
        <w:rPr>
          <w:rFonts w:hint="eastAsia" w:ascii="宋体" w:hAnsi="宋体"/>
          <w:sz w:val="28"/>
          <w:szCs w:val="28"/>
        </w:rPr>
        <w:t>。</w:t>
      </w:r>
    </w:p>
    <w:tbl>
      <w:tblPr>
        <w:tblStyle w:val="9"/>
        <w:tblW w:w="8429" w:type="dxa"/>
        <w:jc w:val="center"/>
        <w:tblInd w:w="0" w:type="dxa"/>
        <w:tblLayout w:type="fixed"/>
        <w:tblCellMar>
          <w:top w:w="0" w:type="dxa"/>
          <w:left w:w="108" w:type="dxa"/>
          <w:bottom w:w="0" w:type="dxa"/>
          <w:right w:w="108" w:type="dxa"/>
        </w:tblCellMar>
      </w:tblPr>
      <w:tblGrid>
        <w:gridCol w:w="2234"/>
        <w:gridCol w:w="805"/>
        <w:gridCol w:w="851"/>
        <w:gridCol w:w="567"/>
        <w:gridCol w:w="2268"/>
        <w:gridCol w:w="850"/>
        <w:gridCol w:w="854"/>
      </w:tblGrid>
      <w:tr>
        <w:tblPrEx>
          <w:tblLayout w:type="fixed"/>
          <w:tblCellMar>
            <w:top w:w="0" w:type="dxa"/>
            <w:left w:w="108" w:type="dxa"/>
            <w:bottom w:w="0" w:type="dxa"/>
            <w:right w:w="108" w:type="dxa"/>
          </w:tblCellMar>
        </w:tblPrEx>
        <w:trPr>
          <w:trHeight w:val="315" w:hRule="atLeast"/>
          <w:jc w:val="center"/>
        </w:trPr>
        <w:tc>
          <w:tcPr>
            <w:tcW w:w="2234"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b/>
                <w:bCs/>
                <w:color w:val="000000"/>
                <w:sz w:val="18"/>
                <w:szCs w:val="18"/>
              </w:rPr>
            </w:pPr>
            <w:r>
              <w:rPr>
                <w:rFonts w:hint="eastAsia" w:ascii="Arial" w:hAnsi="Arial"/>
                <w:b/>
                <w:bCs/>
                <w:color w:val="000000"/>
                <w:sz w:val="18"/>
                <w:szCs w:val="18"/>
              </w:rPr>
              <w:t>理财师证书</w:t>
            </w:r>
          </w:p>
        </w:tc>
        <w:tc>
          <w:tcPr>
            <w:tcW w:w="805" w:type="dxa"/>
            <w:tcBorders>
              <w:top w:val="single" w:color="auto" w:sz="4" w:space="0"/>
              <w:left w:val="nil"/>
              <w:bottom w:val="single" w:color="auto" w:sz="4" w:space="0"/>
              <w:right w:val="single" w:color="auto" w:sz="4" w:space="0"/>
            </w:tcBorders>
            <w:vAlign w:val="center"/>
          </w:tcPr>
          <w:p>
            <w:pPr>
              <w:jc w:val="center"/>
              <w:rPr>
                <w:rFonts w:ascii="Arial" w:hAnsi="Arial"/>
                <w:b/>
                <w:bCs/>
                <w:color w:val="000000"/>
                <w:sz w:val="18"/>
                <w:szCs w:val="18"/>
              </w:rPr>
            </w:pPr>
            <w:r>
              <w:rPr>
                <w:rFonts w:hint="eastAsia" w:ascii="Arial" w:hAnsi="Arial"/>
                <w:b/>
                <w:bCs/>
                <w:color w:val="000000"/>
                <w:sz w:val="18"/>
                <w:szCs w:val="18"/>
              </w:rPr>
              <w:t>人数</w:t>
            </w:r>
          </w:p>
        </w:tc>
        <w:tc>
          <w:tcPr>
            <w:tcW w:w="851" w:type="dxa"/>
            <w:tcBorders>
              <w:top w:val="single" w:color="auto" w:sz="4" w:space="0"/>
              <w:left w:val="nil"/>
              <w:bottom w:val="single" w:color="auto" w:sz="4" w:space="0"/>
              <w:right w:val="single" w:color="auto" w:sz="4" w:space="0"/>
            </w:tcBorders>
            <w:vAlign w:val="center"/>
          </w:tcPr>
          <w:p>
            <w:pPr>
              <w:jc w:val="center"/>
              <w:rPr>
                <w:rFonts w:ascii="Arial" w:hAnsi="Arial"/>
                <w:b/>
                <w:bCs/>
                <w:color w:val="000000"/>
                <w:sz w:val="18"/>
                <w:szCs w:val="18"/>
              </w:rPr>
            </w:pPr>
            <w:r>
              <w:rPr>
                <w:rFonts w:hint="eastAsia" w:ascii="Arial" w:hAnsi="Arial"/>
                <w:b/>
                <w:bCs/>
                <w:color w:val="000000"/>
                <w:sz w:val="18"/>
                <w:szCs w:val="18"/>
              </w:rPr>
              <w:t>比例</w:t>
            </w:r>
          </w:p>
        </w:tc>
        <w:tc>
          <w:tcPr>
            <w:tcW w:w="567" w:type="dxa"/>
            <w:tcBorders>
              <w:top w:val="single" w:color="auto" w:sz="4" w:space="0"/>
              <w:left w:val="nil"/>
              <w:right w:val="single" w:color="auto" w:sz="4" w:space="0"/>
            </w:tcBorders>
          </w:tcPr>
          <w:p>
            <w:pPr>
              <w:jc w:val="center"/>
              <w:rPr>
                <w:rFonts w:ascii="Arial" w:hAnsi="Arial"/>
                <w:b/>
                <w:bCs/>
                <w:color w:val="000000"/>
                <w:sz w:val="18"/>
                <w:szCs w:val="18"/>
              </w:rPr>
            </w:pPr>
          </w:p>
        </w:tc>
        <w:tc>
          <w:tcPr>
            <w:tcW w:w="2268" w:type="dxa"/>
            <w:tcBorders>
              <w:top w:val="single" w:color="auto" w:sz="4" w:space="0"/>
              <w:left w:val="nil"/>
              <w:bottom w:val="single" w:color="auto" w:sz="4" w:space="0"/>
              <w:right w:val="single" w:color="auto" w:sz="4" w:space="0"/>
            </w:tcBorders>
            <w:vAlign w:val="center"/>
          </w:tcPr>
          <w:p>
            <w:pPr>
              <w:jc w:val="center"/>
              <w:rPr>
                <w:rFonts w:ascii="宋体"/>
                <w:b/>
                <w:bCs/>
                <w:color w:val="000000"/>
                <w:sz w:val="18"/>
                <w:szCs w:val="18"/>
              </w:rPr>
            </w:pPr>
            <w:r>
              <w:rPr>
                <w:rFonts w:hint="eastAsia" w:hAnsi="宋体"/>
                <w:b/>
                <w:bCs/>
                <w:color w:val="000000"/>
                <w:sz w:val="18"/>
                <w:szCs w:val="18"/>
              </w:rPr>
              <w:t>从业资格证书</w:t>
            </w:r>
          </w:p>
        </w:tc>
        <w:tc>
          <w:tcPr>
            <w:tcW w:w="850" w:type="dxa"/>
            <w:tcBorders>
              <w:top w:val="single" w:color="auto" w:sz="4" w:space="0"/>
              <w:left w:val="nil"/>
              <w:bottom w:val="single" w:color="auto" w:sz="4" w:space="0"/>
              <w:right w:val="single" w:color="auto" w:sz="4" w:space="0"/>
            </w:tcBorders>
            <w:vAlign w:val="center"/>
          </w:tcPr>
          <w:p>
            <w:pPr>
              <w:jc w:val="center"/>
              <w:rPr>
                <w:rFonts w:ascii="Arial" w:hAnsi="Arial"/>
                <w:b/>
                <w:bCs/>
                <w:color w:val="000000"/>
                <w:sz w:val="18"/>
                <w:szCs w:val="18"/>
              </w:rPr>
            </w:pPr>
            <w:r>
              <w:rPr>
                <w:rFonts w:hint="eastAsia" w:ascii="Arial" w:hAnsi="Arial"/>
                <w:b/>
                <w:bCs/>
                <w:color w:val="000000"/>
                <w:sz w:val="18"/>
                <w:szCs w:val="18"/>
              </w:rPr>
              <w:t>人数</w:t>
            </w:r>
          </w:p>
        </w:tc>
        <w:tc>
          <w:tcPr>
            <w:tcW w:w="854" w:type="dxa"/>
            <w:tcBorders>
              <w:top w:val="single" w:color="auto" w:sz="4" w:space="0"/>
              <w:left w:val="nil"/>
              <w:bottom w:val="single" w:color="auto" w:sz="4" w:space="0"/>
              <w:right w:val="single" w:color="auto" w:sz="4" w:space="0"/>
            </w:tcBorders>
            <w:vAlign w:val="center"/>
          </w:tcPr>
          <w:p>
            <w:pPr>
              <w:jc w:val="center"/>
              <w:rPr>
                <w:rFonts w:ascii="Arial" w:hAnsi="Arial"/>
                <w:b/>
                <w:bCs/>
                <w:color w:val="000000"/>
                <w:sz w:val="18"/>
                <w:szCs w:val="18"/>
              </w:rPr>
            </w:pPr>
            <w:r>
              <w:rPr>
                <w:rFonts w:hint="eastAsia" w:ascii="Arial" w:hAnsi="Arial"/>
                <w:b/>
                <w:bCs/>
                <w:color w:val="000000"/>
                <w:sz w:val="18"/>
                <w:szCs w:val="18"/>
              </w:rPr>
              <w:t>比例</w:t>
            </w:r>
          </w:p>
        </w:tc>
      </w:tr>
      <w:tr>
        <w:tblPrEx>
          <w:tblLayout w:type="fixed"/>
          <w:tblCellMar>
            <w:top w:w="0" w:type="dxa"/>
            <w:left w:w="108" w:type="dxa"/>
            <w:bottom w:w="0" w:type="dxa"/>
            <w:right w:w="108" w:type="dxa"/>
          </w:tblCellMar>
        </w:tblPrEx>
        <w:trPr>
          <w:trHeight w:val="330"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ascii="Arial" w:hAnsi="Arial"/>
                <w:b/>
                <w:bCs/>
                <w:color w:val="000000"/>
                <w:sz w:val="18"/>
                <w:szCs w:val="18"/>
              </w:rPr>
              <w:t>AFP</w:t>
            </w:r>
            <w:r>
              <w:rPr>
                <w:rFonts w:hint="eastAsia" w:ascii="宋体" w:hAnsi="宋体"/>
                <w:b/>
                <w:bCs/>
                <w:color w:val="000000"/>
                <w:sz w:val="18"/>
                <w:szCs w:val="18"/>
              </w:rPr>
              <w:t>（金融理财师）</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151</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9.6%</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银行从业资格证</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853</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54.1%</w:t>
            </w:r>
          </w:p>
        </w:tc>
      </w:tr>
      <w:tr>
        <w:tblPrEx>
          <w:tblLayout w:type="fixed"/>
          <w:tblCellMar>
            <w:top w:w="0" w:type="dxa"/>
            <w:left w:w="108" w:type="dxa"/>
            <w:bottom w:w="0" w:type="dxa"/>
            <w:right w:w="108" w:type="dxa"/>
          </w:tblCellMar>
        </w:tblPrEx>
        <w:trPr>
          <w:trHeight w:val="315"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ascii="Arial" w:hAnsi="Arial"/>
                <w:b/>
                <w:bCs/>
                <w:color w:val="000000"/>
                <w:sz w:val="18"/>
                <w:szCs w:val="18"/>
              </w:rPr>
              <w:t>CFP</w:t>
            </w:r>
            <w:r>
              <w:rPr>
                <w:rFonts w:hint="eastAsia" w:ascii="宋体" w:hAnsi="宋体"/>
                <w:b/>
                <w:bCs/>
                <w:color w:val="000000"/>
                <w:sz w:val="18"/>
                <w:szCs w:val="18"/>
              </w:rPr>
              <w:t>（国际金融理财师</w:t>
            </w:r>
            <w:r>
              <w:rPr>
                <w:rFonts w:ascii="Arial" w:hAnsi="Arial"/>
                <w:b/>
                <w:bCs/>
                <w:color w:val="000000"/>
                <w:sz w:val="18"/>
                <w:szCs w:val="18"/>
              </w:rPr>
              <w:t>)</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70</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4.4%</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证券从业资格证</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968</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61.3%</w:t>
            </w:r>
          </w:p>
        </w:tc>
      </w:tr>
      <w:tr>
        <w:tblPrEx>
          <w:tblLayout w:type="fixed"/>
          <w:tblCellMar>
            <w:top w:w="0" w:type="dxa"/>
            <w:left w:w="108" w:type="dxa"/>
            <w:bottom w:w="0" w:type="dxa"/>
            <w:right w:w="108" w:type="dxa"/>
          </w:tblCellMar>
        </w:tblPrEx>
        <w:trPr>
          <w:trHeight w:val="300"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ascii="Arial" w:hAnsi="Arial"/>
                <w:b/>
                <w:bCs/>
                <w:color w:val="000000"/>
                <w:sz w:val="18"/>
                <w:szCs w:val="18"/>
              </w:rPr>
              <w:t>CPB</w:t>
            </w:r>
            <w:r>
              <w:rPr>
                <w:rFonts w:hint="eastAsia" w:ascii="宋体" w:hAnsi="宋体"/>
                <w:b/>
                <w:bCs/>
                <w:color w:val="000000"/>
                <w:sz w:val="18"/>
                <w:szCs w:val="18"/>
              </w:rPr>
              <w:t>（认证私人银行家）</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19</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1.2%</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基金从业资格证</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1221</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77.4%</w:t>
            </w:r>
          </w:p>
        </w:tc>
      </w:tr>
      <w:tr>
        <w:tblPrEx>
          <w:tblLayout w:type="fixed"/>
          <w:tblCellMar>
            <w:top w:w="0" w:type="dxa"/>
            <w:left w:w="108" w:type="dxa"/>
            <w:bottom w:w="0" w:type="dxa"/>
            <w:right w:w="108" w:type="dxa"/>
          </w:tblCellMar>
        </w:tblPrEx>
        <w:trPr>
          <w:trHeight w:val="315"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ascii="Arial" w:hAnsi="Arial"/>
                <w:b/>
                <w:bCs/>
                <w:color w:val="000000"/>
                <w:sz w:val="18"/>
                <w:szCs w:val="18"/>
              </w:rPr>
              <w:t>EFP</w:t>
            </w:r>
            <w:r>
              <w:rPr>
                <w:rFonts w:hint="eastAsia" w:ascii="宋体" w:hAnsi="宋体"/>
                <w:b/>
                <w:bCs/>
                <w:color w:val="000000"/>
                <w:sz w:val="18"/>
                <w:szCs w:val="18"/>
              </w:rPr>
              <w:t>（理财管理师）</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4</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0.3%</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保险代理人</w:t>
            </w:r>
            <w:r>
              <w:rPr>
                <w:rFonts w:ascii="Arial" w:hAnsi="Arial"/>
                <w:b/>
                <w:bCs/>
                <w:color w:val="000000"/>
                <w:sz w:val="18"/>
                <w:szCs w:val="18"/>
              </w:rPr>
              <w:t>/</w:t>
            </w:r>
            <w:r>
              <w:rPr>
                <w:rFonts w:hint="eastAsia" w:hAnsi="宋体"/>
                <w:b/>
                <w:bCs/>
                <w:color w:val="000000"/>
                <w:sz w:val="18"/>
                <w:szCs w:val="18"/>
              </w:rPr>
              <w:t>经纪人资格证</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913</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57.9%</w:t>
            </w:r>
          </w:p>
        </w:tc>
      </w:tr>
      <w:tr>
        <w:tblPrEx>
          <w:tblLayout w:type="fixed"/>
          <w:tblCellMar>
            <w:top w:w="0" w:type="dxa"/>
            <w:left w:w="108" w:type="dxa"/>
            <w:bottom w:w="0" w:type="dxa"/>
            <w:right w:w="108" w:type="dxa"/>
          </w:tblCellMar>
        </w:tblPrEx>
        <w:trPr>
          <w:trHeight w:val="315"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ascii="Arial" w:hAnsi="Arial"/>
                <w:b/>
                <w:bCs/>
                <w:color w:val="000000"/>
                <w:sz w:val="18"/>
                <w:szCs w:val="18"/>
              </w:rPr>
              <w:t>RFP</w:t>
            </w:r>
            <w:r>
              <w:rPr>
                <w:rFonts w:hint="eastAsia" w:ascii="宋体" w:hAnsi="宋体"/>
                <w:b/>
                <w:bCs/>
                <w:color w:val="000000"/>
                <w:sz w:val="18"/>
                <w:szCs w:val="18"/>
              </w:rPr>
              <w:t>（注册财务策划师）</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8</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0.5%</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律师执业资格证</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15</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1.0%</w:t>
            </w:r>
          </w:p>
        </w:tc>
      </w:tr>
      <w:tr>
        <w:tblPrEx>
          <w:tblLayout w:type="fixed"/>
          <w:tblCellMar>
            <w:top w:w="0" w:type="dxa"/>
            <w:left w:w="108" w:type="dxa"/>
            <w:bottom w:w="0" w:type="dxa"/>
            <w:right w:w="108" w:type="dxa"/>
          </w:tblCellMar>
        </w:tblPrEx>
        <w:trPr>
          <w:trHeight w:val="315"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ascii="Arial" w:hAnsi="Arial"/>
                <w:b/>
                <w:bCs/>
                <w:color w:val="000000"/>
                <w:sz w:val="18"/>
                <w:szCs w:val="18"/>
              </w:rPr>
              <w:t>ChFP</w:t>
            </w:r>
            <w:r>
              <w:rPr>
                <w:rFonts w:hint="eastAsia" w:ascii="宋体" w:hAnsi="宋体"/>
                <w:b/>
                <w:bCs/>
                <w:color w:val="000000"/>
                <w:sz w:val="18"/>
                <w:szCs w:val="18"/>
              </w:rPr>
              <w:t>（理财规划师）</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32</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2.0%</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注册会计师执业资格证</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15</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1.0%</w:t>
            </w:r>
          </w:p>
        </w:tc>
      </w:tr>
      <w:tr>
        <w:tblPrEx>
          <w:tblLayout w:type="fixed"/>
          <w:tblCellMar>
            <w:top w:w="0" w:type="dxa"/>
            <w:left w:w="108" w:type="dxa"/>
            <w:bottom w:w="0" w:type="dxa"/>
            <w:right w:w="108" w:type="dxa"/>
          </w:tblCellMar>
        </w:tblPrEx>
        <w:trPr>
          <w:trHeight w:val="330"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ascii="Arial" w:hAnsi="Arial"/>
                <w:b/>
                <w:bCs/>
                <w:color w:val="000000"/>
                <w:sz w:val="18"/>
                <w:szCs w:val="18"/>
              </w:rPr>
              <w:t>CFA</w:t>
            </w:r>
            <w:r>
              <w:rPr>
                <w:rFonts w:hint="eastAsia" w:ascii="宋体" w:hAnsi="宋体"/>
                <w:b/>
                <w:bCs/>
                <w:color w:val="000000"/>
                <w:sz w:val="18"/>
                <w:szCs w:val="18"/>
              </w:rPr>
              <w:t>（特许金融分析师）</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10</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0.6%</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没有以上相关证书</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48</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3.0%</w:t>
            </w:r>
          </w:p>
        </w:tc>
      </w:tr>
      <w:tr>
        <w:tblPrEx>
          <w:tblLayout w:type="fixed"/>
          <w:tblCellMar>
            <w:top w:w="0" w:type="dxa"/>
            <w:left w:w="108" w:type="dxa"/>
            <w:bottom w:w="0" w:type="dxa"/>
            <w:right w:w="108" w:type="dxa"/>
          </w:tblCellMar>
        </w:tblPrEx>
        <w:trPr>
          <w:trHeight w:val="315"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宋体"/>
                <w:b/>
                <w:bCs/>
                <w:color w:val="000000"/>
                <w:sz w:val="18"/>
                <w:szCs w:val="18"/>
              </w:rPr>
            </w:pPr>
            <w:r>
              <w:rPr>
                <w:rFonts w:hint="eastAsia" w:ascii="宋体" w:hAnsi="宋体"/>
                <w:b/>
                <w:bCs/>
                <w:color w:val="000000"/>
                <w:sz w:val="18"/>
                <w:szCs w:val="18"/>
              </w:rPr>
              <w:t>没有以上相关证书</w:t>
            </w:r>
          </w:p>
        </w:tc>
        <w:tc>
          <w:tcPr>
            <w:tcW w:w="805" w:type="dxa"/>
            <w:tcBorders>
              <w:top w:val="nil"/>
              <w:left w:val="nil"/>
              <w:bottom w:val="single" w:color="auto" w:sz="4" w:space="0"/>
              <w:right w:val="single" w:color="auto" w:sz="4" w:space="0"/>
            </w:tcBorders>
            <w:vAlign w:val="center"/>
          </w:tcPr>
          <w:p>
            <w:pPr>
              <w:jc w:val="right"/>
              <w:rPr>
                <w:rFonts w:ascii="Arial" w:hAnsi="Arial"/>
                <w:color w:val="FF0000"/>
                <w:sz w:val="18"/>
                <w:szCs w:val="18"/>
              </w:rPr>
            </w:pPr>
            <w:r>
              <w:rPr>
                <w:rFonts w:ascii="Arial" w:hAnsi="Arial"/>
                <w:color w:val="000000"/>
                <w:sz w:val="18"/>
                <w:szCs w:val="18"/>
              </w:rPr>
              <w:t>132</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8.4%</w:t>
            </w:r>
          </w:p>
        </w:tc>
        <w:tc>
          <w:tcPr>
            <w:tcW w:w="567" w:type="dxa"/>
            <w:tcBorders>
              <w:top w:val="nil"/>
              <w:left w:val="nil"/>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r>
              <w:rPr>
                <w:rFonts w:hint="eastAsia" w:hAnsi="宋体"/>
                <w:b/>
                <w:bCs/>
                <w:color w:val="000000"/>
                <w:sz w:val="18"/>
                <w:szCs w:val="18"/>
              </w:rPr>
              <w:t>其它</w:t>
            </w: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30</w:t>
            </w: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1.9%</w:t>
            </w:r>
          </w:p>
        </w:tc>
      </w:tr>
      <w:tr>
        <w:tblPrEx>
          <w:tblLayout w:type="fixed"/>
          <w:tblCellMar>
            <w:top w:w="0" w:type="dxa"/>
            <w:left w:w="108" w:type="dxa"/>
            <w:bottom w:w="0" w:type="dxa"/>
            <w:right w:w="108" w:type="dxa"/>
          </w:tblCellMar>
        </w:tblPrEx>
        <w:trPr>
          <w:trHeight w:val="315" w:hRule="atLeast"/>
          <w:jc w:val="center"/>
        </w:trPr>
        <w:tc>
          <w:tcPr>
            <w:tcW w:w="2234" w:type="dxa"/>
            <w:tcBorders>
              <w:top w:val="nil"/>
              <w:left w:val="single" w:color="auto" w:sz="4" w:space="0"/>
              <w:bottom w:val="single" w:color="auto" w:sz="4" w:space="0"/>
              <w:right w:val="single" w:color="auto" w:sz="4" w:space="0"/>
            </w:tcBorders>
            <w:vAlign w:val="center"/>
          </w:tcPr>
          <w:p>
            <w:pPr>
              <w:jc w:val="left"/>
              <w:rPr>
                <w:rFonts w:ascii="Arial" w:hAnsi="Arial"/>
                <w:b/>
                <w:bCs/>
                <w:color w:val="000000"/>
                <w:sz w:val="18"/>
                <w:szCs w:val="18"/>
              </w:rPr>
            </w:pPr>
            <w:r>
              <w:rPr>
                <w:rFonts w:hint="eastAsia" w:ascii="宋体" w:hAnsi="宋体"/>
                <w:b/>
                <w:bCs/>
                <w:color w:val="000000"/>
                <w:sz w:val="18"/>
                <w:szCs w:val="18"/>
              </w:rPr>
              <w:t>其它</w:t>
            </w:r>
          </w:p>
        </w:tc>
        <w:tc>
          <w:tcPr>
            <w:tcW w:w="805"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r>
              <w:rPr>
                <w:rFonts w:ascii="Arial" w:hAnsi="Arial"/>
                <w:color w:val="000000"/>
                <w:sz w:val="18"/>
                <w:szCs w:val="18"/>
              </w:rPr>
              <w:t>22</w:t>
            </w:r>
          </w:p>
        </w:tc>
        <w:tc>
          <w:tcPr>
            <w:tcW w:w="851"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r>
              <w:rPr>
                <w:rFonts w:ascii="Arial" w:hAnsi="Arial"/>
                <w:b/>
                <w:bCs/>
                <w:color w:val="000000"/>
                <w:sz w:val="18"/>
                <w:szCs w:val="18"/>
              </w:rPr>
              <w:t>1.4%</w:t>
            </w:r>
          </w:p>
        </w:tc>
        <w:tc>
          <w:tcPr>
            <w:tcW w:w="567" w:type="dxa"/>
            <w:tcBorders>
              <w:top w:val="nil"/>
              <w:left w:val="nil"/>
              <w:bottom w:val="single" w:color="auto" w:sz="4" w:space="0"/>
              <w:right w:val="single" w:color="auto" w:sz="4" w:space="0"/>
            </w:tcBorders>
          </w:tcPr>
          <w:p>
            <w:pPr>
              <w:jc w:val="right"/>
              <w:rPr>
                <w:rFonts w:ascii="Arial" w:hAnsi="Arial"/>
                <w:b/>
                <w:bCs/>
                <w:color w:val="000000"/>
                <w:sz w:val="18"/>
                <w:szCs w:val="18"/>
              </w:rPr>
            </w:pPr>
          </w:p>
        </w:tc>
        <w:tc>
          <w:tcPr>
            <w:tcW w:w="2268" w:type="dxa"/>
            <w:tcBorders>
              <w:top w:val="nil"/>
              <w:left w:val="nil"/>
              <w:bottom w:val="single" w:color="auto" w:sz="4" w:space="0"/>
              <w:right w:val="single" w:color="auto" w:sz="4" w:space="0"/>
            </w:tcBorders>
            <w:vAlign w:val="center"/>
          </w:tcPr>
          <w:p>
            <w:pPr>
              <w:rPr>
                <w:rFonts w:ascii="Arial" w:hAnsi="Arial"/>
                <w:b/>
                <w:bCs/>
                <w:color w:val="000000"/>
                <w:sz w:val="18"/>
                <w:szCs w:val="18"/>
              </w:rPr>
            </w:pPr>
          </w:p>
        </w:tc>
        <w:tc>
          <w:tcPr>
            <w:tcW w:w="850" w:type="dxa"/>
            <w:tcBorders>
              <w:top w:val="nil"/>
              <w:left w:val="nil"/>
              <w:bottom w:val="single" w:color="auto" w:sz="4" w:space="0"/>
              <w:right w:val="single" w:color="auto" w:sz="4" w:space="0"/>
            </w:tcBorders>
            <w:vAlign w:val="center"/>
          </w:tcPr>
          <w:p>
            <w:pPr>
              <w:jc w:val="right"/>
              <w:rPr>
                <w:rFonts w:ascii="Arial" w:hAnsi="Arial"/>
                <w:color w:val="000000"/>
                <w:sz w:val="18"/>
                <w:szCs w:val="18"/>
              </w:rPr>
            </w:pPr>
          </w:p>
        </w:tc>
        <w:tc>
          <w:tcPr>
            <w:tcW w:w="854" w:type="dxa"/>
            <w:tcBorders>
              <w:top w:val="nil"/>
              <w:left w:val="nil"/>
              <w:bottom w:val="single" w:color="auto" w:sz="4" w:space="0"/>
              <w:right w:val="single" w:color="auto" w:sz="4" w:space="0"/>
            </w:tcBorders>
            <w:vAlign w:val="center"/>
          </w:tcPr>
          <w:p>
            <w:pPr>
              <w:jc w:val="right"/>
              <w:rPr>
                <w:rFonts w:ascii="Arial" w:hAnsi="Arial"/>
                <w:b/>
                <w:bCs/>
                <w:color w:val="000000"/>
                <w:sz w:val="18"/>
                <w:szCs w:val="18"/>
              </w:rPr>
            </w:pPr>
          </w:p>
        </w:tc>
      </w:tr>
    </w:tbl>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8 </w:t>
      </w:r>
      <w:r>
        <w:rPr>
          <w:rFonts w:hint="eastAsia" w:ascii="宋体" w:hAnsi="宋体"/>
          <w:b/>
          <w:bCs/>
          <w:sz w:val="21"/>
          <w:szCs w:val="21"/>
        </w:rPr>
        <w:t>上海金融理财从业人员持证情况（可一人多证）</w:t>
      </w:r>
    </w:p>
    <w:p>
      <w:pPr>
        <w:spacing w:line="360" w:lineRule="auto"/>
        <w:rPr>
          <w:rFonts w:hAnsi="宋体"/>
        </w:rPr>
      </w:pPr>
      <w:r>
        <w:rPr>
          <w:rFonts w:hAnsi="宋体"/>
        </w:rPr>
        <w:t xml:space="preserve"> </w:t>
      </w:r>
    </w:p>
    <w:p>
      <w:pPr>
        <w:rPr>
          <w:rFonts w:hAnsi="宋体"/>
          <w:sz w:val="30"/>
          <w:szCs w:val="30"/>
        </w:rPr>
      </w:pPr>
      <w:r>
        <w:rPr>
          <w:rFonts w:hint="eastAsia" w:ascii="宋体" w:hAnsi="宋体"/>
          <w:b/>
          <w:bCs/>
          <w:sz w:val="30"/>
          <w:szCs w:val="30"/>
        </w:rPr>
        <w:t>（三）金融理财机构基本情况</w:t>
      </w:r>
    </w:p>
    <w:p>
      <w:pPr>
        <w:spacing w:line="360" w:lineRule="auto"/>
        <w:rPr>
          <w:rFonts w:ascii="宋体"/>
          <w:b/>
          <w:bCs/>
          <w:sz w:val="28"/>
          <w:szCs w:val="28"/>
        </w:rPr>
      </w:pPr>
      <w:r>
        <w:rPr>
          <w:rFonts w:ascii="宋体" w:hAnsi="宋体"/>
          <w:b/>
          <w:bCs/>
          <w:sz w:val="28"/>
          <w:szCs w:val="28"/>
        </w:rPr>
        <w:t>1</w:t>
      </w:r>
      <w:r>
        <w:rPr>
          <w:rFonts w:hint="eastAsia" w:ascii="宋体" w:hAnsi="宋体"/>
          <w:b/>
          <w:bCs/>
          <w:sz w:val="28"/>
          <w:szCs w:val="28"/>
        </w:rPr>
        <w:t>、市场品牌</w:t>
      </w:r>
    </w:p>
    <w:p>
      <w:pPr>
        <w:spacing w:line="360" w:lineRule="auto"/>
        <w:ind w:firstLine="560"/>
        <w:rPr>
          <w:rFonts w:ascii="宋体"/>
          <w:b/>
          <w:bCs/>
          <w:sz w:val="28"/>
          <w:szCs w:val="28"/>
        </w:rPr>
      </w:pPr>
      <w:r>
        <w:rPr>
          <w:rFonts w:hint="eastAsia" w:ascii="宋体" w:hAnsi="宋体"/>
          <w:sz w:val="28"/>
          <w:szCs w:val="28"/>
        </w:rPr>
        <w:t>从调查结果来看，上海金融理财从业人员认为，自己目前所在机构的市场品牌正在建设中，自己参与其中的人数占比</w:t>
      </w:r>
      <w:r>
        <w:rPr>
          <w:rFonts w:ascii="宋体" w:hAnsi="宋体"/>
          <w:sz w:val="28"/>
          <w:szCs w:val="28"/>
        </w:rPr>
        <w:t>48.5%</w:t>
      </w:r>
      <w:r>
        <w:rPr>
          <w:rFonts w:hint="eastAsia" w:ascii="宋体" w:hAnsi="宋体"/>
          <w:sz w:val="28"/>
          <w:szCs w:val="28"/>
        </w:rPr>
        <w:t>；认为非常好有利于自己工作的占比</w:t>
      </w:r>
      <w:r>
        <w:rPr>
          <w:rFonts w:ascii="宋体" w:hAnsi="宋体"/>
          <w:sz w:val="28"/>
          <w:szCs w:val="28"/>
        </w:rPr>
        <w:t>45.5%</w:t>
      </w:r>
      <w:r>
        <w:rPr>
          <w:rFonts w:hint="eastAsia" w:ascii="宋体" w:hAnsi="宋体"/>
          <w:sz w:val="28"/>
          <w:szCs w:val="28"/>
        </w:rPr>
        <w:t>，其余详见下图。</w:t>
      </w:r>
    </w:p>
    <w:p>
      <w:pPr>
        <w:spacing w:line="360" w:lineRule="auto"/>
        <w:jc w:val="center"/>
        <w:rPr>
          <w:rFonts w:hAnsi="宋体"/>
        </w:rPr>
      </w:pPr>
      <w:r>
        <w:pict>
          <v:shape id="_x0000_i1032" o:spt="75" type="#_x0000_t75" style="height:216pt;width:360pt;" filled="f" o:preferrelative="t" stroked="f" coordsize="21600,21600">
            <v:path/>
            <v:fill on="f" focussize="0,0"/>
            <v:stroke on="f" joinstyle="miter"/>
            <v:imagedata r:id="rId13"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9 </w:t>
      </w:r>
      <w:r>
        <w:rPr>
          <w:rFonts w:hint="eastAsia" w:ascii="宋体" w:hAnsi="宋体"/>
          <w:b/>
          <w:bCs/>
          <w:sz w:val="21"/>
          <w:szCs w:val="21"/>
        </w:rPr>
        <w:t>上海金融理财从业人员对自己目前所在机构的市场品牌认识比例图</w:t>
      </w:r>
    </w:p>
    <w:p>
      <w:pPr>
        <w:spacing w:line="360" w:lineRule="auto"/>
        <w:jc w:val="center"/>
        <w:rPr>
          <w:rFonts w:hAnsi="宋体"/>
          <w:b/>
          <w:bCs/>
          <w:sz w:val="21"/>
          <w:szCs w:val="21"/>
        </w:rPr>
      </w:pPr>
      <w:r>
        <w:rPr>
          <w:rFonts w:hAnsi="宋体"/>
          <w:b/>
          <w:bCs/>
          <w:sz w:val="21"/>
          <w:szCs w:val="21"/>
        </w:rPr>
        <w:t xml:space="preserve"> </w:t>
      </w:r>
    </w:p>
    <w:p>
      <w:pPr>
        <w:spacing w:line="360" w:lineRule="auto"/>
        <w:jc w:val="center"/>
        <w:rPr>
          <w:rFonts w:hAnsi="宋体"/>
        </w:rPr>
      </w:pPr>
      <w:r>
        <w:rPr>
          <w:rFonts w:hAnsi="宋体"/>
        </w:rPr>
        <w:t xml:space="preserve"> </w:t>
      </w:r>
    </w:p>
    <w:p>
      <w:pPr>
        <w:spacing w:line="360" w:lineRule="auto"/>
        <w:rPr>
          <w:rFonts w:ascii="宋体"/>
          <w:b/>
          <w:bCs/>
          <w:sz w:val="28"/>
          <w:szCs w:val="28"/>
        </w:rPr>
      </w:pPr>
      <w:r>
        <w:rPr>
          <w:rFonts w:ascii="宋体" w:hAnsi="宋体"/>
          <w:b/>
          <w:bCs/>
          <w:sz w:val="28"/>
          <w:szCs w:val="28"/>
        </w:rPr>
        <w:t>2</w:t>
      </w:r>
      <w:r>
        <w:rPr>
          <w:rFonts w:hint="eastAsia" w:ascii="宋体" w:hAnsi="宋体"/>
          <w:b/>
          <w:bCs/>
          <w:sz w:val="28"/>
          <w:szCs w:val="28"/>
        </w:rPr>
        <w:t>、机构提供产品服务</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金融机构提供的金融产品主要有固定收益类信托及资管计划、银行理财产品、保险产品及公募证券投资基金，非金融产品服务主要有融资服务和留学咨询。</w:t>
      </w:r>
    </w:p>
    <w:tbl>
      <w:tblPr>
        <w:tblStyle w:val="9"/>
        <w:tblW w:w="8691" w:type="dxa"/>
        <w:jc w:val="center"/>
        <w:tblInd w:w="0" w:type="dxa"/>
        <w:tblLayout w:type="fixed"/>
        <w:tblCellMar>
          <w:top w:w="0" w:type="dxa"/>
          <w:left w:w="108" w:type="dxa"/>
          <w:bottom w:w="0" w:type="dxa"/>
          <w:right w:w="108" w:type="dxa"/>
        </w:tblCellMar>
      </w:tblPr>
      <w:tblGrid>
        <w:gridCol w:w="2496"/>
        <w:gridCol w:w="805"/>
        <w:gridCol w:w="851"/>
        <w:gridCol w:w="567"/>
        <w:gridCol w:w="2268"/>
        <w:gridCol w:w="850"/>
        <w:gridCol w:w="854"/>
      </w:tblGrid>
      <w:tr>
        <w:tblPrEx>
          <w:tblLayout w:type="fixed"/>
          <w:tblCellMar>
            <w:top w:w="0" w:type="dxa"/>
            <w:left w:w="108" w:type="dxa"/>
            <w:bottom w:w="0" w:type="dxa"/>
            <w:right w:w="108" w:type="dxa"/>
          </w:tblCellMar>
        </w:tblPrEx>
        <w:trPr>
          <w:trHeight w:val="315"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Arial" w:eastAsia="Times New Roman"/>
                <w:b/>
                <w:bCs/>
                <w:color w:val="000000"/>
                <w:sz w:val="18"/>
                <w:szCs w:val="18"/>
              </w:rPr>
            </w:pPr>
            <w:r>
              <w:rPr>
                <w:rFonts w:hint="eastAsia" w:ascii="宋体" w:hAnsi="宋体"/>
                <w:b/>
                <w:bCs/>
                <w:color w:val="000000"/>
                <w:sz w:val="18"/>
                <w:szCs w:val="18"/>
              </w:rPr>
              <w:t>金融产品</w:t>
            </w:r>
          </w:p>
        </w:tc>
        <w:tc>
          <w:tcPr>
            <w:tcW w:w="805" w:type="dxa"/>
            <w:tcBorders>
              <w:top w:val="single" w:color="000000" w:sz="4" w:space="0"/>
              <w:left w:val="nil"/>
              <w:bottom w:val="single" w:color="000000" w:sz="4" w:space="0"/>
              <w:right w:val="single" w:color="000000" w:sz="4" w:space="0"/>
            </w:tcBorders>
            <w:vAlign w:val="center"/>
          </w:tcPr>
          <w:p>
            <w:pPr>
              <w:jc w:val="center"/>
              <w:rPr>
                <w:rFonts w:ascii="宋体" w:hAnsi="Arial" w:eastAsia="Times New Roman"/>
                <w:b/>
                <w:bCs/>
                <w:color w:val="000000"/>
                <w:sz w:val="18"/>
                <w:szCs w:val="18"/>
              </w:rPr>
            </w:pPr>
            <w:r>
              <w:rPr>
                <w:rFonts w:hint="eastAsia" w:ascii="宋体" w:hAnsi="宋体" w:cs="宋体"/>
                <w:b/>
                <w:bCs/>
                <w:color w:val="000000"/>
                <w:sz w:val="18"/>
                <w:szCs w:val="18"/>
              </w:rPr>
              <w:t>人数</w:t>
            </w:r>
          </w:p>
        </w:tc>
        <w:tc>
          <w:tcPr>
            <w:tcW w:w="851" w:type="dxa"/>
            <w:tcBorders>
              <w:top w:val="single" w:color="000000" w:sz="4" w:space="0"/>
              <w:left w:val="nil"/>
              <w:bottom w:val="single" w:color="000000" w:sz="4" w:space="0"/>
              <w:right w:val="single" w:color="auto" w:sz="4" w:space="0"/>
            </w:tcBorders>
            <w:vAlign w:val="center"/>
          </w:tcPr>
          <w:p>
            <w:pPr>
              <w:jc w:val="center"/>
              <w:rPr>
                <w:rFonts w:ascii="宋体" w:hAnsi="Arial" w:eastAsia="Times New Roman"/>
                <w:b/>
                <w:bCs/>
                <w:color w:val="000000"/>
                <w:sz w:val="18"/>
                <w:szCs w:val="18"/>
              </w:rPr>
            </w:pPr>
            <w:r>
              <w:rPr>
                <w:rFonts w:hint="eastAsia" w:ascii="宋体" w:hAnsi="宋体" w:cs="宋体"/>
                <w:b/>
                <w:bCs/>
                <w:color w:val="000000"/>
                <w:sz w:val="18"/>
                <w:szCs w:val="18"/>
              </w:rPr>
              <w:t>比例</w:t>
            </w:r>
          </w:p>
        </w:tc>
        <w:tc>
          <w:tcPr>
            <w:tcW w:w="567" w:type="dxa"/>
            <w:tcBorders>
              <w:top w:val="nil"/>
              <w:left w:val="nil"/>
              <w:bottom w:val="nil"/>
              <w:right w:val="single" w:color="auto" w:sz="4" w:space="0"/>
            </w:tcBorders>
          </w:tcPr>
          <w:p>
            <w:pPr>
              <w:jc w:val="center"/>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jc w:val="center"/>
              <w:rPr>
                <w:rFonts w:ascii="宋体"/>
                <w:b/>
                <w:bCs/>
                <w:color w:val="000000"/>
                <w:sz w:val="18"/>
                <w:szCs w:val="18"/>
              </w:rPr>
            </w:pPr>
            <w:r>
              <w:rPr>
                <w:rFonts w:hint="eastAsia" w:ascii="宋体" w:hAnsi="宋体"/>
                <w:b/>
                <w:bCs/>
                <w:color w:val="000000"/>
                <w:sz w:val="18"/>
                <w:szCs w:val="18"/>
              </w:rPr>
              <w:t>非金融产品服务</w:t>
            </w:r>
          </w:p>
        </w:tc>
        <w:tc>
          <w:tcPr>
            <w:tcW w:w="850" w:type="dxa"/>
            <w:tcBorders>
              <w:top w:val="single" w:color="000000" w:sz="4" w:space="0"/>
              <w:left w:val="nil"/>
              <w:bottom w:val="single" w:color="000000" w:sz="4" w:space="0"/>
              <w:right w:val="single" w:color="000000" w:sz="4" w:space="0"/>
            </w:tcBorders>
            <w:vAlign w:val="center"/>
          </w:tcPr>
          <w:p>
            <w:pPr>
              <w:jc w:val="center"/>
              <w:rPr>
                <w:rFonts w:ascii="宋体" w:hAnsi="Arial" w:eastAsia="Times New Roman"/>
                <w:b/>
                <w:bCs/>
                <w:color w:val="000000"/>
                <w:sz w:val="18"/>
                <w:szCs w:val="18"/>
              </w:rPr>
            </w:pPr>
            <w:r>
              <w:rPr>
                <w:rFonts w:hint="eastAsia" w:ascii="宋体" w:hAnsi="宋体" w:cs="宋体"/>
                <w:b/>
                <w:bCs/>
                <w:color w:val="000000"/>
                <w:sz w:val="18"/>
                <w:szCs w:val="18"/>
              </w:rPr>
              <w:t>人数</w:t>
            </w:r>
          </w:p>
        </w:tc>
        <w:tc>
          <w:tcPr>
            <w:tcW w:w="854" w:type="dxa"/>
            <w:tcBorders>
              <w:top w:val="single" w:color="000000" w:sz="4" w:space="0"/>
              <w:left w:val="nil"/>
              <w:bottom w:val="single" w:color="000000" w:sz="4" w:space="0"/>
              <w:right w:val="single" w:color="000000" w:sz="4" w:space="0"/>
            </w:tcBorders>
            <w:vAlign w:val="center"/>
          </w:tcPr>
          <w:p>
            <w:pPr>
              <w:jc w:val="center"/>
              <w:rPr>
                <w:rFonts w:ascii="宋体" w:hAnsi="Arial" w:eastAsia="Times New Roman"/>
                <w:b/>
                <w:bCs/>
                <w:color w:val="000000"/>
                <w:sz w:val="18"/>
                <w:szCs w:val="18"/>
              </w:rPr>
            </w:pPr>
            <w:r>
              <w:rPr>
                <w:rFonts w:hint="eastAsia" w:ascii="宋体" w:hAnsi="宋体" w:cs="宋体"/>
                <w:b/>
                <w:bCs/>
                <w:color w:val="000000"/>
                <w:sz w:val="18"/>
                <w:szCs w:val="18"/>
              </w:rPr>
              <w:t>比例</w:t>
            </w:r>
          </w:p>
        </w:tc>
      </w:tr>
      <w:tr>
        <w:tblPrEx>
          <w:tblLayout w:type="fixed"/>
          <w:tblCellMar>
            <w:top w:w="0" w:type="dxa"/>
            <w:left w:w="108" w:type="dxa"/>
            <w:bottom w:w="0" w:type="dxa"/>
            <w:right w:w="108" w:type="dxa"/>
          </w:tblCellMar>
        </w:tblPrEx>
        <w:trPr>
          <w:trHeight w:val="330"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Arial" w:eastAsia="Times New Roman"/>
                <w:b/>
                <w:bCs/>
                <w:color w:val="000000"/>
                <w:sz w:val="18"/>
                <w:szCs w:val="18"/>
              </w:rPr>
            </w:pPr>
            <w:r>
              <w:rPr>
                <w:rFonts w:hint="eastAsia" w:ascii="宋体" w:hAnsi="宋体"/>
                <w:b/>
                <w:bCs/>
                <w:color w:val="000000"/>
                <w:sz w:val="18"/>
                <w:szCs w:val="18"/>
              </w:rPr>
              <w:t>银行理财产品</w:t>
            </w:r>
          </w:p>
        </w:tc>
        <w:tc>
          <w:tcPr>
            <w:tcW w:w="805"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1180</w:t>
            </w:r>
          </w:p>
        </w:tc>
        <w:tc>
          <w:tcPr>
            <w:tcW w:w="851" w:type="dxa"/>
            <w:tcBorders>
              <w:top w:val="single" w:color="000000" w:sz="4" w:space="0"/>
              <w:left w:val="nil"/>
              <w:bottom w:val="single" w:color="000000" w:sz="4" w:space="0"/>
              <w:right w:val="single" w:color="auto"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74.8</w:t>
            </w:r>
            <w:r>
              <w:rPr>
                <w:rFonts w:ascii="宋体" w:hAnsi="Arial" w:eastAsia="Times New Roman"/>
                <w:b/>
                <w:bCs/>
                <w:color w:val="000000"/>
                <w:sz w:val="18"/>
                <w:szCs w:val="18"/>
              </w:rPr>
              <w:t>%</w:t>
            </w:r>
          </w:p>
        </w:tc>
        <w:tc>
          <w:tcPr>
            <w:tcW w:w="567" w:type="dxa"/>
            <w:tcBorders>
              <w:top w:val="nil"/>
              <w:left w:val="nil"/>
              <w:bottom w:val="nil"/>
              <w:right w:val="single" w:color="auto" w:sz="4" w:space="0"/>
            </w:tcBorders>
          </w:tcPr>
          <w:p>
            <w:pPr>
              <w:jc w:val="right"/>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rPr>
                <w:rFonts w:ascii="宋体" w:hAnsi="Arial" w:eastAsia="Times New Roman"/>
                <w:b/>
                <w:bCs/>
                <w:color w:val="000000"/>
                <w:sz w:val="18"/>
                <w:szCs w:val="18"/>
              </w:rPr>
            </w:pPr>
            <w:r>
              <w:rPr>
                <w:rFonts w:hint="eastAsia" w:ascii="宋体" w:hAnsi="宋体"/>
                <w:b/>
                <w:bCs/>
                <w:color w:val="000000"/>
                <w:sz w:val="18"/>
                <w:szCs w:val="18"/>
              </w:rPr>
              <w:t>税务筹划</w:t>
            </w:r>
          </w:p>
        </w:tc>
        <w:tc>
          <w:tcPr>
            <w:tcW w:w="850"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473</w:t>
            </w:r>
          </w:p>
        </w:tc>
        <w:tc>
          <w:tcPr>
            <w:tcW w:w="854"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30.0</w:t>
            </w:r>
            <w:r>
              <w:rPr>
                <w:rFonts w:ascii="宋体" w:hAnsi="Arial" w:eastAsia="Times New Roman"/>
                <w:b/>
                <w:bCs/>
                <w:color w:val="000000"/>
                <w:sz w:val="18"/>
                <w:szCs w:val="18"/>
              </w:rPr>
              <w:t>%</w:t>
            </w:r>
          </w:p>
        </w:tc>
      </w:tr>
      <w:tr>
        <w:tblPrEx>
          <w:tblLayout w:type="fixed"/>
          <w:tblCellMar>
            <w:top w:w="0" w:type="dxa"/>
            <w:left w:w="108" w:type="dxa"/>
            <w:bottom w:w="0" w:type="dxa"/>
            <w:right w:w="108" w:type="dxa"/>
          </w:tblCellMar>
        </w:tblPrEx>
        <w:trPr>
          <w:trHeight w:val="315"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Arial" w:eastAsia="Times New Roman"/>
                <w:b/>
                <w:bCs/>
                <w:color w:val="000000"/>
                <w:sz w:val="18"/>
                <w:szCs w:val="18"/>
              </w:rPr>
            </w:pPr>
            <w:r>
              <w:rPr>
                <w:rFonts w:hint="eastAsia" w:ascii="宋体" w:hAnsi="宋体"/>
                <w:b/>
                <w:bCs/>
                <w:color w:val="000000"/>
                <w:sz w:val="18"/>
                <w:szCs w:val="18"/>
              </w:rPr>
              <w:t>公募证券投资基金</w:t>
            </w:r>
          </w:p>
        </w:tc>
        <w:tc>
          <w:tcPr>
            <w:tcW w:w="805"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1144</w:t>
            </w:r>
          </w:p>
        </w:tc>
        <w:tc>
          <w:tcPr>
            <w:tcW w:w="851" w:type="dxa"/>
            <w:tcBorders>
              <w:top w:val="single" w:color="000000" w:sz="4" w:space="0"/>
              <w:left w:val="nil"/>
              <w:bottom w:val="single" w:color="000000" w:sz="4" w:space="0"/>
              <w:right w:val="single" w:color="auto"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72.5</w:t>
            </w:r>
            <w:r>
              <w:rPr>
                <w:rFonts w:ascii="宋体" w:hAnsi="Arial" w:eastAsia="Times New Roman"/>
                <w:b/>
                <w:bCs/>
                <w:color w:val="000000"/>
                <w:sz w:val="18"/>
                <w:szCs w:val="18"/>
              </w:rPr>
              <w:t>%</w:t>
            </w:r>
          </w:p>
        </w:tc>
        <w:tc>
          <w:tcPr>
            <w:tcW w:w="567" w:type="dxa"/>
            <w:tcBorders>
              <w:top w:val="nil"/>
              <w:left w:val="nil"/>
              <w:bottom w:val="nil"/>
              <w:right w:val="single" w:color="auto" w:sz="4" w:space="0"/>
            </w:tcBorders>
          </w:tcPr>
          <w:p>
            <w:pPr>
              <w:jc w:val="right"/>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rPr>
                <w:rFonts w:ascii="宋体" w:hAnsi="Arial" w:eastAsia="Times New Roman"/>
                <w:b/>
                <w:bCs/>
                <w:color w:val="000000"/>
                <w:sz w:val="18"/>
                <w:szCs w:val="18"/>
              </w:rPr>
            </w:pPr>
            <w:r>
              <w:rPr>
                <w:rFonts w:hint="eastAsia" w:ascii="宋体" w:hAnsi="宋体"/>
                <w:b/>
                <w:bCs/>
                <w:color w:val="000000"/>
                <w:sz w:val="18"/>
                <w:szCs w:val="18"/>
              </w:rPr>
              <w:t>法律咨询</w:t>
            </w:r>
          </w:p>
        </w:tc>
        <w:tc>
          <w:tcPr>
            <w:tcW w:w="850"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442</w:t>
            </w:r>
          </w:p>
        </w:tc>
        <w:tc>
          <w:tcPr>
            <w:tcW w:w="854"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28.0</w:t>
            </w:r>
            <w:r>
              <w:rPr>
                <w:rFonts w:ascii="宋体" w:hAnsi="Arial" w:eastAsia="Times New Roman"/>
                <w:b/>
                <w:bCs/>
                <w:color w:val="000000"/>
                <w:sz w:val="18"/>
                <w:szCs w:val="18"/>
              </w:rPr>
              <w:t>%</w:t>
            </w:r>
          </w:p>
        </w:tc>
      </w:tr>
      <w:tr>
        <w:tblPrEx>
          <w:tblLayout w:type="fixed"/>
          <w:tblCellMar>
            <w:top w:w="0" w:type="dxa"/>
            <w:left w:w="108" w:type="dxa"/>
            <w:bottom w:w="0" w:type="dxa"/>
            <w:right w:w="108" w:type="dxa"/>
          </w:tblCellMar>
        </w:tblPrEx>
        <w:trPr>
          <w:trHeight w:val="300"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Arial" w:eastAsia="Times New Roman"/>
                <w:b/>
                <w:bCs/>
                <w:color w:val="000000"/>
                <w:sz w:val="18"/>
                <w:szCs w:val="18"/>
              </w:rPr>
            </w:pPr>
            <w:r>
              <w:rPr>
                <w:rFonts w:hint="eastAsia" w:ascii="宋体" w:hAnsi="宋体"/>
                <w:b/>
                <w:bCs/>
                <w:color w:val="000000"/>
                <w:sz w:val="18"/>
                <w:szCs w:val="18"/>
              </w:rPr>
              <w:t>私募证券投资基金</w:t>
            </w:r>
          </w:p>
        </w:tc>
        <w:tc>
          <w:tcPr>
            <w:tcW w:w="805"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723</w:t>
            </w:r>
          </w:p>
        </w:tc>
        <w:tc>
          <w:tcPr>
            <w:tcW w:w="851" w:type="dxa"/>
            <w:tcBorders>
              <w:top w:val="single" w:color="000000" w:sz="4" w:space="0"/>
              <w:left w:val="nil"/>
              <w:bottom w:val="single" w:color="000000" w:sz="4" w:space="0"/>
              <w:right w:val="single" w:color="auto"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45.8</w:t>
            </w:r>
            <w:r>
              <w:rPr>
                <w:rFonts w:ascii="宋体" w:hAnsi="Arial" w:eastAsia="Times New Roman"/>
                <w:b/>
                <w:bCs/>
                <w:color w:val="000000"/>
                <w:sz w:val="18"/>
                <w:szCs w:val="18"/>
              </w:rPr>
              <w:t>%</w:t>
            </w:r>
          </w:p>
        </w:tc>
        <w:tc>
          <w:tcPr>
            <w:tcW w:w="567" w:type="dxa"/>
            <w:tcBorders>
              <w:top w:val="nil"/>
              <w:left w:val="nil"/>
              <w:bottom w:val="nil"/>
              <w:right w:val="single" w:color="auto" w:sz="4" w:space="0"/>
            </w:tcBorders>
          </w:tcPr>
          <w:p>
            <w:pPr>
              <w:jc w:val="right"/>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rPr>
                <w:rFonts w:ascii="宋体" w:hAnsi="Arial" w:eastAsia="Times New Roman"/>
                <w:b/>
                <w:bCs/>
                <w:color w:val="000000"/>
                <w:sz w:val="18"/>
                <w:szCs w:val="18"/>
              </w:rPr>
            </w:pPr>
            <w:r>
              <w:rPr>
                <w:rFonts w:hint="eastAsia" w:ascii="宋体" w:hAnsi="宋体"/>
                <w:b/>
                <w:bCs/>
                <w:color w:val="000000"/>
                <w:sz w:val="18"/>
                <w:szCs w:val="18"/>
              </w:rPr>
              <w:t>留学咨询</w:t>
            </w:r>
          </w:p>
        </w:tc>
        <w:tc>
          <w:tcPr>
            <w:tcW w:w="850"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587</w:t>
            </w:r>
          </w:p>
        </w:tc>
        <w:tc>
          <w:tcPr>
            <w:tcW w:w="854"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37.2</w:t>
            </w:r>
            <w:r>
              <w:rPr>
                <w:rFonts w:ascii="宋体" w:hAnsi="Arial" w:eastAsia="Times New Roman"/>
                <w:b/>
                <w:bCs/>
                <w:color w:val="000000"/>
                <w:sz w:val="18"/>
                <w:szCs w:val="18"/>
              </w:rPr>
              <w:t>%</w:t>
            </w:r>
          </w:p>
        </w:tc>
      </w:tr>
      <w:tr>
        <w:tblPrEx>
          <w:tblLayout w:type="fixed"/>
          <w:tblCellMar>
            <w:top w:w="0" w:type="dxa"/>
            <w:left w:w="108" w:type="dxa"/>
            <w:bottom w:w="0" w:type="dxa"/>
            <w:right w:w="108" w:type="dxa"/>
          </w:tblCellMar>
        </w:tblPrEx>
        <w:trPr>
          <w:trHeight w:val="315"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Arial" w:eastAsia="Times New Roman"/>
                <w:b/>
                <w:bCs/>
                <w:color w:val="000000"/>
                <w:sz w:val="18"/>
                <w:szCs w:val="18"/>
              </w:rPr>
            </w:pPr>
            <w:r>
              <w:rPr>
                <w:rFonts w:hint="eastAsia" w:ascii="宋体" w:hAnsi="宋体"/>
                <w:b/>
                <w:bCs/>
                <w:color w:val="000000"/>
                <w:sz w:val="18"/>
                <w:szCs w:val="18"/>
              </w:rPr>
              <w:t>固定收益类信托及资管计划</w:t>
            </w:r>
          </w:p>
        </w:tc>
        <w:tc>
          <w:tcPr>
            <w:tcW w:w="805"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1213</w:t>
            </w:r>
          </w:p>
        </w:tc>
        <w:tc>
          <w:tcPr>
            <w:tcW w:w="851" w:type="dxa"/>
            <w:tcBorders>
              <w:top w:val="single" w:color="000000" w:sz="4" w:space="0"/>
              <w:left w:val="nil"/>
              <w:bottom w:val="single" w:color="000000" w:sz="4" w:space="0"/>
              <w:right w:val="single" w:color="auto"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76.9</w:t>
            </w:r>
            <w:r>
              <w:rPr>
                <w:rFonts w:ascii="宋体" w:hAnsi="Arial" w:eastAsia="Times New Roman"/>
                <w:b/>
                <w:bCs/>
                <w:color w:val="000000"/>
                <w:sz w:val="18"/>
                <w:szCs w:val="18"/>
              </w:rPr>
              <w:t>%</w:t>
            </w:r>
          </w:p>
        </w:tc>
        <w:tc>
          <w:tcPr>
            <w:tcW w:w="567" w:type="dxa"/>
            <w:tcBorders>
              <w:top w:val="nil"/>
              <w:left w:val="nil"/>
              <w:bottom w:val="nil"/>
              <w:right w:val="single" w:color="auto" w:sz="4" w:space="0"/>
            </w:tcBorders>
          </w:tcPr>
          <w:p>
            <w:pPr>
              <w:jc w:val="right"/>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rPr>
                <w:rFonts w:ascii="宋体" w:hAnsi="Arial" w:eastAsia="Times New Roman"/>
                <w:b/>
                <w:bCs/>
                <w:color w:val="000000"/>
                <w:sz w:val="18"/>
                <w:szCs w:val="18"/>
              </w:rPr>
            </w:pPr>
            <w:r>
              <w:rPr>
                <w:rFonts w:hint="eastAsia" w:ascii="宋体" w:hAnsi="宋体"/>
                <w:b/>
                <w:bCs/>
                <w:color w:val="000000"/>
                <w:sz w:val="18"/>
                <w:szCs w:val="18"/>
              </w:rPr>
              <w:t>移民规划</w:t>
            </w:r>
          </w:p>
        </w:tc>
        <w:tc>
          <w:tcPr>
            <w:tcW w:w="850"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530</w:t>
            </w:r>
          </w:p>
        </w:tc>
        <w:tc>
          <w:tcPr>
            <w:tcW w:w="854"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33.6</w:t>
            </w:r>
            <w:r>
              <w:rPr>
                <w:rFonts w:ascii="宋体" w:hAnsi="Arial" w:eastAsia="Times New Roman"/>
                <w:b/>
                <w:bCs/>
                <w:color w:val="000000"/>
                <w:sz w:val="18"/>
                <w:szCs w:val="18"/>
              </w:rPr>
              <w:t>%</w:t>
            </w:r>
          </w:p>
        </w:tc>
      </w:tr>
      <w:tr>
        <w:tblPrEx>
          <w:tblLayout w:type="fixed"/>
          <w:tblCellMar>
            <w:top w:w="0" w:type="dxa"/>
            <w:left w:w="108" w:type="dxa"/>
            <w:bottom w:w="0" w:type="dxa"/>
            <w:right w:w="108" w:type="dxa"/>
          </w:tblCellMar>
        </w:tblPrEx>
        <w:trPr>
          <w:trHeight w:val="315"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Arial" w:eastAsia="Times New Roman"/>
                <w:b/>
                <w:bCs/>
                <w:color w:val="000000"/>
                <w:sz w:val="18"/>
                <w:szCs w:val="18"/>
              </w:rPr>
            </w:pPr>
            <w:r>
              <w:rPr>
                <w:rFonts w:hint="eastAsia" w:ascii="宋体" w:hAnsi="宋体"/>
                <w:b/>
                <w:bCs/>
                <w:color w:val="000000"/>
                <w:sz w:val="18"/>
                <w:szCs w:val="18"/>
              </w:rPr>
              <w:t>保险产品</w:t>
            </w:r>
          </w:p>
        </w:tc>
        <w:tc>
          <w:tcPr>
            <w:tcW w:w="805"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Arial" w:eastAsia="Times New Roman"/>
                <w:color w:val="000000"/>
                <w:sz w:val="18"/>
                <w:szCs w:val="18"/>
              </w:rPr>
              <w:t>8</w:t>
            </w:r>
          </w:p>
        </w:tc>
        <w:tc>
          <w:tcPr>
            <w:tcW w:w="851" w:type="dxa"/>
            <w:tcBorders>
              <w:top w:val="single" w:color="000000" w:sz="4" w:space="0"/>
              <w:left w:val="nil"/>
              <w:bottom w:val="single" w:color="000000" w:sz="4" w:space="0"/>
              <w:right w:val="single" w:color="auto"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73.0</w:t>
            </w:r>
            <w:r>
              <w:rPr>
                <w:rFonts w:ascii="宋体" w:hAnsi="Arial" w:eastAsia="Times New Roman"/>
                <w:b/>
                <w:bCs/>
                <w:color w:val="000000"/>
                <w:sz w:val="18"/>
                <w:szCs w:val="18"/>
              </w:rPr>
              <w:t>%</w:t>
            </w:r>
          </w:p>
        </w:tc>
        <w:tc>
          <w:tcPr>
            <w:tcW w:w="567" w:type="dxa"/>
            <w:tcBorders>
              <w:top w:val="nil"/>
              <w:left w:val="nil"/>
              <w:bottom w:val="nil"/>
              <w:right w:val="single" w:color="auto" w:sz="4" w:space="0"/>
            </w:tcBorders>
          </w:tcPr>
          <w:p>
            <w:pPr>
              <w:jc w:val="right"/>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rPr>
                <w:rFonts w:ascii="宋体" w:hAnsi="Arial" w:eastAsia="Times New Roman"/>
                <w:b/>
                <w:bCs/>
                <w:color w:val="000000"/>
                <w:sz w:val="18"/>
                <w:szCs w:val="18"/>
              </w:rPr>
            </w:pPr>
            <w:r>
              <w:rPr>
                <w:rFonts w:hint="eastAsia" w:ascii="宋体" w:hAnsi="宋体"/>
                <w:b/>
                <w:bCs/>
                <w:color w:val="000000"/>
                <w:sz w:val="18"/>
                <w:szCs w:val="18"/>
              </w:rPr>
              <w:t>融资服务</w:t>
            </w:r>
          </w:p>
        </w:tc>
        <w:tc>
          <w:tcPr>
            <w:tcW w:w="850"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宋体"/>
                <w:color w:val="000000"/>
                <w:sz w:val="18"/>
                <w:szCs w:val="18"/>
              </w:rPr>
              <w:t>887</w:t>
            </w:r>
          </w:p>
        </w:tc>
        <w:tc>
          <w:tcPr>
            <w:tcW w:w="854"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56.2</w:t>
            </w:r>
            <w:r>
              <w:rPr>
                <w:rFonts w:ascii="宋体" w:hAnsi="Arial" w:eastAsia="Times New Roman"/>
                <w:b/>
                <w:bCs/>
                <w:color w:val="000000"/>
                <w:sz w:val="18"/>
                <w:szCs w:val="18"/>
              </w:rPr>
              <w:t>%</w:t>
            </w:r>
          </w:p>
        </w:tc>
      </w:tr>
      <w:tr>
        <w:tblPrEx>
          <w:tblLayout w:type="fixed"/>
          <w:tblCellMar>
            <w:top w:w="0" w:type="dxa"/>
            <w:left w:w="108" w:type="dxa"/>
            <w:bottom w:w="0" w:type="dxa"/>
            <w:right w:w="108" w:type="dxa"/>
          </w:tblCellMar>
        </w:tblPrEx>
        <w:trPr>
          <w:trHeight w:val="315"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Arial" w:eastAsia="Times New Roman"/>
                <w:b/>
                <w:bCs/>
                <w:color w:val="000000"/>
                <w:sz w:val="18"/>
                <w:szCs w:val="18"/>
              </w:rPr>
            </w:pPr>
            <w:r>
              <w:rPr>
                <w:rFonts w:hint="eastAsia" w:ascii="宋体" w:hAnsi="宋体"/>
                <w:b/>
                <w:bCs/>
                <w:color w:val="000000"/>
                <w:sz w:val="18"/>
                <w:szCs w:val="18"/>
              </w:rPr>
              <w:t>证券期货交易</w:t>
            </w:r>
          </w:p>
        </w:tc>
        <w:tc>
          <w:tcPr>
            <w:tcW w:w="805"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Arial" w:eastAsia="Times New Roman"/>
                <w:color w:val="000000"/>
                <w:sz w:val="18"/>
                <w:szCs w:val="18"/>
              </w:rPr>
              <w:t>32</w:t>
            </w:r>
          </w:p>
        </w:tc>
        <w:tc>
          <w:tcPr>
            <w:tcW w:w="851" w:type="dxa"/>
            <w:tcBorders>
              <w:top w:val="single" w:color="000000" w:sz="4" w:space="0"/>
              <w:left w:val="nil"/>
              <w:bottom w:val="single" w:color="000000" w:sz="4" w:space="0"/>
              <w:right w:val="single" w:color="auto"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21.9</w:t>
            </w:r>
            <w:r>
              <w:rPr>
                <w:rFonts w:ascii="宋体" w:hAnsi="Arial" w:eastAsia="Times New Roman"/>
                <w:b/>
                <w:bCs/>
                <w:color w:val="000000"/>
                <w:sz w:val="18"/>
                <w:szCs w:val="18"/>
              </w:rPr>
              <w:t>%</w:t>
            </w:r>
          </w:p>
        </w:tc>
        <w:tc>
          <w:tcPr>
            <w:tcW w:w="567" w:type="dxa"/>
            <w:tcBorders>
              <w:top w:val="nil"/>
              <w:left w:val="nil"/>
              <w:bottom w:val="nil"/>
              <w:right w:val="single" w:color="auto" w:sz="4" w:space="0"/>
            </w:tcBorders>
          </w:tcPr>
          <w:p>
            <w:pPr>
              <w:jc w:val="right"/>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rPr>
                <w:rFonts w:ascii="宋体" w:hAnsi="Arial" w:eastAsia="Times New Roman"/>
                <w:b/>
                <w:bCs/>
                <w:color w:val="000000"/>
                <w:sz w:val="18"/>
                <w:szCs w:val="18"/>
              </w:rPr>
            </w:pPr>
          </w:p>
        </w:tc>
        <w:tc>
          <w:tcPr>
            <w:tcW w:w="850"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p>
        </w:tc>
        <w:tc>
          <w:tcPr>
            <w:tcW w:w="854"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b/>
                <w:bCs/>
                <w:color w:val="000000"/>
                <w:sz w:val="18"/>
                <w:szCs w:val="18"/>
              </w:rPr>
            </w:pPr>
          </w:p>
        </w:tc>
      </w:tr>
      <w:tr>
        <w:tblPrEx>
          <w:tblLayout w:type="fixed"/>
          <w:tblCellMar>
            <w:top w:w="0" w:type="dxa"/>
            <w:left w:w="108" w:type="dxa"/>
            <w:bottom w:w="0" w:type="dxa"/>
            <w:right w:w="108" w:type="dxa"/>
          </w:tblCellMar>
        </w:tblPrEx>
        <w:trPr>
          <w:trHeight w:val="330" w:hRule="atLeast"/>
          <w:jc w:val="center"/>
        </w:trPr>
        <w:tc>
          <w:tcPr>
            <w:tcW w:w="2496"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Arial" w:eastAsia="Times New Roman"/>
                <w:b/>
                <w:bCs/>
                <w:color w:val="000000"/>
                <w:sz w:val="18"/>
                <w:szCs w:val="18"/>
              </w:rPr>
            </w:pPr>
            <w:r>
              <w:rPr>
                <w:rFonts w:hint="eastAsia" w:ascii="宋体" w:hAnsi="宋体"/>
                <w:b/>
                <w:bCs/>
                <w:color w:val="000000"/>
                <w:sz w:val="18"/>
                <w:szCs w:val="18"/>
              </w:rPr>
              <w:t>其他金融产品</w:t>
            </w:r>
          </w:p>
        </w:tc>
        <w:tc>
          <w:tcPr>
            <w:tcW w:w="805"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r>
              <w:rPr>
                <w:rFonts w:ascii="宋体" w:hAnsi="Arial" w:eastAsia="Times New Roman"/>
                <w:color w:val="000000"/>
                <w:sz w:val="18"/>
                <w:szCs w:val="18"/>
              </w:rPr>
              <w:t>10</w:t>
            </w:r>
          </w:p>
        </w:tc>
        <w:tc>
          <w:tcPr>
            <w:tcW w:w="851" w:type="dxa"/>
            <w:tcBorders>
              <w:top w:val="single" w:color="000000" w:sz="4" w:space="0"/>
              <w:left w:val="nil"/>
              <w:bottom w:val="single" w:color="000000" w:sz="4" w:space="0"/>
              <w:right w:val="single" w:color="auto" w:sz="4" w:space="0"/>
            </w:tcBorders>
            <w:vAlign w:val="center"/>
          </w:tcPr>
          <w:p>
            <w:pPr>
              <w:jc w:val="right"/>
              <w:rPr>
                <w:rFonts w:ascii="宋体" w:hAnsi="Arial" w:eastAsia="Times New Roman"/>
                <w:b/>
                <w:bCs/>
                <w:color w:val="000000"/>
                <w:sz w:val="18"/>
                <w:szCs w:val="18"/>
              </w:rPr>
            </w:pPr>
            <w:r>
              <w:rPr>
                <w:rFonts w:ascii="宋体" w:hAnsi="宋体"/>
                <w:b/>
                <w:bCs/>
                <w:color w:val="000000"/>
                <w:sz w:val="18"/>
                <w:szCs w:val="18"/>
              </w:rPr>
              <w:t>30.9</w:t>
            </w:r>
            <w:r>
              <w:rPr>
                <w:rFonts w:ascii="宋体" w:hAnsi="Arial" w:eastAsia="Times New Roman"/>
                <w:b/>
                <w:bCs/>
                <w:color w:val="000000"/>
                <w:sz w:val="18"/>
                <w:szCs w:val="18"/>
              </w:rPr>
              <w:t>%</w:t>
            </w:r>
          </w:p>
        </w:tc>
        <w:tc>
          <w:tcPr>
            <w:tcW w:w="567" w:type="dxa"/>
            <w:tcBorders>
              <w:top w:val="nil"/>
              <w:left w:val="nil"/>
              <w:bottom w:val="nil"/>
              <w:right w:val="single" w:color="auto" w:sz="4" w:space="0"/>
            </w:tcBorders>
          </w:tcPr>
          <w:p>
            <w:pPr>
              <w:jc w:val="right"/>
              <w:rPr>
                <w:rFonts w:ascii="宋体" w:hAnsi="Arial" w:eastAsia="Times New Roman"/>
                <w:b/>
                <w:bCs/>
                <w:color w:val="000000"/>
                <w:sz w:val="18"/>
                <w:szCs w:val="18"/>
              </w:rPr>
            </w:pPr>
          </w:p>
        </w:tc>
        <w:tc>
          <w:tcPr>
            <w:tcW w:w="2268" w:type="dxa"/>
            <w:tcBorders>
              <w:top w:val="single" w:color="000000" w:sz="4" w:space="0"/>
              <w:left w:val="nil"/>
              <w:bottom w:val="single" w:color="000000" w:sz="4" w:space="0"/>
              <w:right w:val="single" w:color="000000" w:sz="4" w:space="0"/>
            </w:tcBorders>
            <w:vAlign w:val="center"/>
          </w:tcPr>
          <w:p>
            <w:pPr>
              <w:rPr>
                <w:rFonts w:ascii="宋体" w:hAnsi="Arial" w:eastAsia="Times New Roman"/>
                <w:b/>
                <w:bCs/>
                <w:color w:val="000000"/>
                <w:sz w:val="18"/>
                <w:szCs w:val="18"/>
              </w:rPr>
            </w:pPr>
          </w:p>
        </w:tc>
        <w:tc>
          <w:tcPr>
            <w:tcW w:w="850"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color w:val="000000"/>
                <w:sz w:val="18"/>
                <w:szCs w:val="18"/>
              </w:rPr>
            </w:pPr>
          </w:p>
        </w:tc>
        <w:tc>
          <w:tcPr>
            <w:tcW w:w="854" w:type="dxa"/>
            <w:tcBorders>
              <w:top w:val="single" w:color="000000" w:sz="4" w:space="0"/>
              <w:left w:val="nil"/>
              <w:bottom w:val="single" w:color="000000" w:sz="4" w:space="0"/>
              <w:right w:val="single" w:color="000000" w:sz="4" w:space="0"/>
            </w:tcBorders>
            <w:vAlign w:val="center"/>
          </w:tcPr>
          <w:p>
            <w:pPr>
              <w:jc w:val="right"/>
              <w:rPr>
                <w:rFonts w:ascii="宋体" w:hAnsi="Arial" w:eastAsia="Times New Roman"/>
                <w:b/>
                <w:bCs/>
                <w:color w:val="000000"/>
                <w:sz w:val="18"/>
                <w:szCs w:val="18"/>
              </w:rPr>
            </w:pPr>
          </w:p>
        </w:tc>
      </w:tr>
    </w:tbl>
    <w:p>
      <w:pPr>
        <w:rPr>
          <w:rFonts w:hAnsi="宋体"/>
        </w:rPr>
      </w:pPr>
      <w:r>
        <w:rPr>
          <w:rFonts w:hAnsi="宋体"/>
        </w:rPr>
        <w:t xml:space="preserve"> </w:t>
      </w:r>
    </w:p>
    <w:p>
      <w:pPr>
        <w:rPr>
          <w:rFonts w:hAnsi="宋体"/>
          <w:b/>
          <w:bCs/>
          <w:sz w:val="28"/>
          <w:szCs w:val="28"/>
        </w:rPr>
      </w:pPr>
      <w:r>
        <w:rPr>
          <w:rFonts w:ascii="宋体" w:hAnsi="宋体"/>
          <w:b/>
          <w:bCs/>
          <w:sz w:val="28"/>
          <w:szCs w:val="28"/>
        </w:rPr>
        <w:t>3</w:t>
      </w:r>
      <w:r>
        <w:rPr>
          <w:rFonts w:hint="eastAsia" w:ascii="宋体" w:hAnsi="宋体"/>
          <w:b/>
          <w:bCs/>
          <w:sz w:val="28"/>
          <w:szCs w:val="28"/>
        </w:rPr>
        <w:t>、理财咨询服务费用收取情况</w:t>
      </w:r>
    </w:p>
    <w:p>
      <w:pPr>
        <w:spacing w:line="360" w:lineRule="auto"/>
        <w:ind w:firstLine="560"/>
        <w:rPr>
          <w:rFonts w:ascii="宋体"/>
          <w:b/>
          <w:bCs/>
          <w:sz w:val="28"/>
          <w:szCs w:val="28"/>
        </w:rPr>
      </w:pPr>
      <w:r>
        <w:rPr>
          <w:rFonts w:hint="eastAsia" w:ascii="宋体" w:hAnsi="宋体"/>
          <w:sz w:val="28"/>
          <w:szCs w:val="28"/>
        </w:rPr>
        <w:t>从调查结果来看，上海金融理财从业人员所在的机构有</w:t>
      </w:r>
      <w:r>
        <w:rPr>
          <w:rFonts w:ascii="宋体" w:hAnsi="宋体"/>
          <w:sz w:val="28"/>
          <w:szCs w:val="28"/>
        </w:rPr>
        <w:t>90.2%</w:t>
      </w:r>
      <w:r>
        <w:rPr>
          <w:rFonts w:hint="eastAsia" w:ascii="宋体" w:hAnsi="宋体"/>
          <w:sz w:val="28"/>
          <w:szCs w:val="28"/>
        </w:rPr>
        <w:t>对理财咨询服务是不收取费用的，仅</w:t>
      </w:r>
      <w:r>
        <w:rPr>
          <w:rFonts w:ascii="宋体" w:hAnsi="宋体"/>
          <w:sz w:val="28"/>
          <w:szCs w:val="28"/>
        </w:rPr>
        <w:t>9.8%</w:t>
      </w:r>
      <w:r>
        <w:rPr>
          <w:rFonts w:hint="eastAsia" w:ascii="宋体" w:hAnsi="宋体"/>
          <w:sz w:val="28"/>
          <w:szCs w:val="28"/>
        </w:rPr>
        <w:t>的机构要收取费用，详见下图。</w:t>
      </w:r>
    </w:p>
    <w:p>
      <w:pPr>
        <w:spacing w:line="360" w:lineRule="auto"/>
        <w:jc w:val="center"/>
        <w:rPr>
          <w:rFonts w:hAnsi="宋体"/>
        </w:rPr>
      </w:pPr>
      <w:r>
        <w:pict>
          <v:shape id="_x0000_i1033" o:spt="75" type="#_x0000_t75" style="height:216pt;width:360pt;" filled="f" o:preferrelative="t" stroked="f" coordsize="21600,21600">
            <v:path/>
            <v:fill on="f" focussize="0,0"/>
            <v:stroke on="f" joinstyle="miter"/>
            <v:imagedata r:id="rId14" o:title=""/>
            <o:lock v:ext="edit" aspectratio="t"/>
            <w10:wrap type="none"/>
            <w10:anchorlock/>
          </v:shape>
        </w:pict>
      </w:r>
      <w:r>
        <w:rPr>
          <w:rFonts w:hAnsi="宋体"/>
        </w:rPr>
        <w:t xml:space="preserve"> </w:t>
      </w:r>
    </w:p>
    <w:p>
      <w:pPr>
        <w:spacing w:line="360" w:lineRule="auto"/>
        <w:jc w:val="center"/>
        <w:rPr>
          <w:rFonts w:hAnsi="宋体"/>
          <w:sz w:val="21"/>
          <w:szCs w:val="21"/>
        </w:rPr>
      </w:pPr>
      <w:r>
        <w:rPr>
          <w:rFonts w:hint="eastAsia" w:ascii="宋体" w:hAnsi="宋体"/>
          <w:b/>
          <w:bCs/>
          <w:sz w:val="21"/>
          <w:szCs w:val="21"/>
        </w:rPr>
        <w:t>图</w:t>
      </w:r>
      <w:r>
        <w:rPr>
          <w:rFonts w:hAnsi="宋体"/>
          <w:b/>
          <w:bCs/>
          <w:sz w:val="21"/>
          <w:szCs w:val="21"/>
        </w:rPr>
        <w:t xml:space="preserve">10 </w:t>
      </w:r>
      <w:r>
        <w:rPr>
          <w:rFonts w:hint="eastAsia" w:ascii="宋体" w:hAnsi="宋体"/>
          <w:b/>
          <w:bCs/>
          <w:sz w:val="21"/>
          <w:szCs w:val="21"/>
        </w:rPr>
        <w:t>上海金融理财从业人员所在机构理财咨询服务费用收取情况比例图</w:t>
      </w:r>
    </w:p>
    <w:p>
      <w:pPr>
        <w:numPr>
          <w:ilvl w:val="0"/>
          <w:numId w:val="4"/>
        </w:numPr>
        <w:spacing w:line="360" w:lineRule="auto"/>
        <w:rPr>
          <w:rFonts w:ascii="宋体"/>
          <w:b/>
          <w:bCs/>
          <w:sz w:val="28"/>
          <w:szCs w:val="28"/>
        </w:rPr>
      </w:pPr>
      <w:r>
        <w:rPr>
          <w:rFonts w:hint="eastAsia" w:ascii="宋体" w:hAnsi="宋体"/>
          <w:b/>
          <w:bCs/>
          <w:sz w:val="28"/>
          <w:szCs w:val="28"/>
        </w:rPr>
        <w:t>机构同行竞争力情况</w:t>
      </w:r>
    </w:p>
    <w:p>
      <w:pPr>
        <w:spacing w:line="360" w:lineRule="auto"/>
        <w:ind w:firstLine="560"/>
        <w:rPr>
          <w:rFonts w:ascii="宋体"/>
          <w:b/>
          <w:bCs/>
          <w:sz w:val="28"/>
          <w:szCs w:val="28"/>
        </w:rPr>
      </w:pPr>
      <w:r>
        <w:rPr>
          <w:rFonts w:hint="eastAsia" w:ascii="宋体" w:hAnsi="宋体"/>
          <w:sz w:val="28"/>
          <w:szCs w:val="28"/>
        </w:rPr>
        <w:t>从调查结果来看，上海金融理财从业人员认为所在的机构金融产品竞争力一般的占将近半数，为</w:t>
      </w:r>
      <w:r>
        <w:rPr>
          <w:rFonts w:ascii="宋体" w:hAnsi="宋体"/>
          <w:sz w:val="28"/>
          <w:szCs w:val="28"/>
        </w:rPr>
        <w:t>49.7%</w:t>
      </w:r>
      <w:r>
        <w:rPr>
          <w:rFonts w:hint="eastAsia" w:ascii="宋体" w:hAnsi="宋体"/>
          <w:sz w:val="28"/>
          <w:szCs w:val="28"/>
        </w:rPr>
        <w:t>，认为竞争力强的为</w:t>
      </w:r>
      <w:r>
        <w:rPr>
          <w:rFonts w:ascii="宋体" w:hAnsi="宋体"/>
          <w:sz w:val="28"/>
          <w:szCs w:val="28"/>
        </w:rPr>
        <w:t>28.0%</w:t>
      </w:r>
      <w:r>
        <w:rPr>
          <w:rFonts w:hint="eastAsia" w:ascii="宋体" w:hAnsi="宋体"/>
          <w:sz w:val="28"/>
          <w:szCs w:val="28"/>
        </w:rPr>
        <w:t>，其余详见下图。</w:t>
      </w:r>
    </w:p>
    <w:p>
      <w:pPr>
        <w:spacing w:line="360" w:lineRule="auto"/>
        <w:jc w:val="center"/>
        <w:rPr>
          <w:rFonts w:hAnsi="宋体"/>
        </w:rPr>
      </w:pPr>
      <w:r>
        <w:pict>
          <v:shape id="_x0000_i1034" o:spt="75" type="#_x0000_t75" style="height:216pt;width:360pt;" filled="f" o:preferrelative="t" stroked="f" coordsize="21600,21600">
            <v:path/>
            <v:fill on="f" focussize="0,0"/>
            <v:stroke on="f" joinstyle="miter"/>
            <v:imagedata r:id="rId15"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 11</w:t>
      </w:r>
      <w:r>
        <w:rPr>
          <w:rFonts w:hint="eastAsia" w:ascii="宋体" w:hAnsi="宋体"/>
          <w:b/>
          <w:bCs/>
          <w:sz w:val="21"/>
          <w:szCs w:val="21"/>
        </w:rPr>
        <w:t>上海金融理财从业人员所在机构金融产品竞争力情况比例图</w:t>
      </w:r>
    </w:p>
    <w:p>
      <w:pPr>
        <w:spacing w:line="360" w:lineRule="auto"/>
        <w:jc w:val="center"/>
        <w:rPr>
          <w:rFonts w:hAnsi="宋体"/>
          <w:b/>
          <w:bCs/>
          <w:sz w:val="21"/>
          <w:szCs w:val="21"/>
        </w:rPr>
      </w:pPr>
      <w:r>
        <w:rPr>
          <w:rFonts w:hAnsi="宋体"/>
          <w:b/>
          <w:bCs/>
          <w:sz w:val="21"/>
          <w:szCs w:val="21"/>
        </w:rPr>
        <w:t xml:space="preserve"> </w:t>
      </w:r>
    </w:p>
    <w:p>
      <w:pPr>
        <w:jc w:val="left"/>
        <w:rPr>
          <w:rFonts w:ascii="宋体"/>
          <w:b/>
          <w:bCs/>
          <w:sz w:val="30"/>
          <w:szCs w:val="30"/>
        </w:rPr>
      </w:pPr>
      <w:r>
        <w:rPr>
          <w:rFonts w:hint="eastAsia" w:ascii="宋体" w:hAnsi="宋体"/>
          <w:b/>
          <w:bCs/>
          <w:sz w:val="30"/>
          <w:szCs w:val="30"/>
        </w:rPr>
        <w:t>（四）金融理财从业人员工作状况</w:t>
      </w:r>
    </w:p>
    <w:p>
      <w:pPr>
        <w:spacing w:line="360" w:lineRule="auto"/>
        <w:rPr>
          <w:rFonts w:ascii="宋体"/>
          <w:b/>
          <w:bCs/>
          <w:sz w:val="28"/>
          <w:szCs w:val="28"/>
        </w:rPr>
      </w:pPr>
      <w:r>
        <w:rPr>
          <w:rFonts w:ascii="宋体" w:hAnsi="宋体"/>
          <w:b/>
          <w:bCs/>
          <w:sz w:val="28"/>
          <w:szCs w:val="28"/>
        </w:rPr>
        <w:t>1</w:t>
      </w:r>
      <w:r>
        <w:rPr>
          <w:rFonts w:hint="eastAsia" w:ascii="宋体" w:hAnsi="宋体"/>
          <w:b/>
          <w:bCs/>
          <w:sz w:val="28"/>
          <w:szCs w:val="28"/>
        </w:rPr>
        <w:t>、工作时长</w:t>
      </w:r>
    </w:p>
    <w:p>
      <w:pPr>
        <w:spacing w:line="360" w:lineRule="auto"/>
        <w:ind w:firstLine="560"/>
        <w:rPr>
          <w:rFonts w:ascii="宋体"/>
          <w:b/>
          <w:bCs/>
          <w:sz w:val="28"/>
          <w:szCs w:val="28"/>
        </w:rPr>
      </w:pPr>
      <w:r>
        <w:rPr>
          <w:rFonts w:hint="eastAsia" w:ascii="宋体" w:hAnsi="宋体"/>
          <w:sz w:val="28"/>
          <w:szCs w:val="28"/>
        </w:rPr>
        <w:t>从调查结果来看，上海金融理财从业人员中</w:t>
      </w:r>
      <w:r>
        <w:rPr>
          <w:rFonts w:ascii="宋体" w:hAnsi="宋体"/>
          <w:sz w:val="28"/>
          <w:szCs w:val="28"/>
        </w:rPr>
        <w:t>63.9%</w:t>
      </w:r>
      <w:r>
        <w:rPr>
          <w:rFonts w:hint="eastAsia" w:ascii="宋体" w:hAnsi="宋体"/>
          <w:sz w:val="28"/>
          <w:szCs w:val="28"/>
        </w:rPr>
        <w:t>的工作时间为每天</w:t>
      </w:r>
      <w:r>
        <w:rPr>
          <w:rFonts w:ascii="宋体" w:hAnsi="宋体"/>
          <w:sz w:val="28"/>
          <w:szCs w:val="28"/>
        </w:rPr>
        <w:t>8-10</w:t>
      </w:r>
      <w:r>
        <w:rPr>
          <w:rFonts w:hint="eastAsia" w:ascii="宋体" w:hAnsi="宋体"/>
          <w:sz w:val="28"/>
          <w:szCs w:val="28"/>
        </w:rPr>
        <w:t>小时，占比其次的是每天工作</w:t>
      </w:r>
      <w:r>
        <w:rPr>
          <w:rFonts w:ascii="宋体" w:hAnsi="宋体"/>
          <w:sz w:val="28"/>
          <w:szCs w:val="28"/>
        </w:rPr>
        <w:t>6-8</w:t>
      </w:r>
      <w:r>
        <w:rPr>
          <w:rFonts w:hint="eastAsia" w:ascii="宋体" w:hAnsi="宋体"/>
          <w:sz w:val="28"/>
          <w:szCs w:val="28"/>
        </w:rPr>
        <w:t>小时和</w:t>
      </w:r>
      <w:r>
        <w:rPr>
          <w:rFonts w:ascii="宋体" w:hAnsi="宋体"/>
          <w:sz w:val="28"/>
          <w:szCs w:val="28"/>
        </w:rPr>
        <w:t>10-12</w:t>
      </w:r>
      <w:r>
        <w:rPr>
          <w:rFonts w:hint="eastAsia" w:ascii="宋体" w:hAnsi="宋体"/>
          <w:sz w:val="28"/>
          <w:szCs w:val="28"/>
        </w:rPr>
        <w:t>小时的，比例分别为</w:t>
      </w:r>
      <w:r>
        <w:rPr>
          <w:rFonts w:ascii="宋体" w:hAnsi="宋体"/>
          <w:sz w:val="28"/>
          <w:szCs w:val="28"/>
        </w:rPr>
        <w:t>17.4%</w:t>
      </w:r>
      <w:r>
        <w:rPr>
          <w:rFonts w:hint="eastAsia" w:ascii="宋体" w:hAnsi="宋体"/>
          <w:sz w:val="28"/>
          <w:szCs w:val="28"/>
        </w:rPr>
        <w:t>和</w:t>
      </w:r>
      <w:r>
        <w:rPr>
          <w:rFonts w:ascii="宋体" w:hAnsi="宋体"/>
          <w:sz w:val="28"/>
          <w:szCs w:val="28"/>
        </w:rPr>
        <w:t>15.7%</w:t>
      </w:r>
      <w:r>
        <w:rPr>
          <w:rFonts w:hint="eastAsia" w:ascii="宋体" w:hAnsi="宋体"/>
          <w:sz w:val="28"/>
          <w:szCs w:val="28"/>
        </w:rPr>
        <w:t>，其余详见下图。</w:t>
      </w:r>
    </w:p>
    <w:p>
      <w:pPr>
        <w:spacing w:line="360" w:lineRule="auto"/>
        <w:jc w:val="center"/>
        <w:rPr>
          <w:rFonts w:hAnsi="宋体"/>
        </w:rPr>
      </w:pPr>
      <w:r>
        <w:pict>
          <v:shape id="_x0000_i1035" o:spt="75" type="#_x0000_t75" style="height:216pt;width:360pt;" filled="f" o:preferrelative="t" stroked="f" coordsize="21600,21600">
            <v:path/>
            <v:fill on="f" focussize="0,0"/>
            <v:stroke on="f" joinstyle="miter"/>
            <v:imagedata r:id="rId16"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12 </w:t>
      </w:r>
      <w:r>
        <w:rPr>
          <w:rFonts w:hint="eastAsia" w:ascii="宋体" w:hAnsi="宋体"/>
          <w:b/>
          <w:bCs/>
          <w:sz w:val="21"/>
          <w:szCs w:val="21"/>
        </w:rPr>
        <w:t>上海金融理财从业人员工作时长比例图</w:t>
      </w:r>
    </w:p>
    <w:p>
      <w:pPr>
        <w:numPr>
          <w:ilvl w:val="0"/>
          <w:numId w:val="5"/>
        </w:numPr>
        <w:spacing w:line="360" w:lineRule="auto"/>
        <w:rPr>
          <w:rFonts w:ascii="宋体"/>
          <w:b/>
          <w:bCs/>
          <w:sz w:val="28"/>
          <w:szCs w:val="28"/>
        </w:rPr>
      </w:pPr>
      <w:r>
        <w:rPr>
          <w:rFonts w:hint="eastAsia" w:ascii="宋体" w:hAnsi="宋体"/>
          <w:b/>
          <w:bCs/>
          <w:sz w:val="28"/>
          <w:szCs w:val="28"/>
        </w:rPr>
        <w:t>加班情况</w:t>
      </w:r>
    </w:p>
    <w:p>
      <w:pPr>
        <w:spacing w:line="360" w:lineRule="auto"/>
        <w:ind w:firstLine="560"/>
        <w:rPr>
          <w:rFonts w:ascii="宋体"/>
          <w:b/>
          <w:bCs/>
          <w:sz w:val="28"/>
          <w:szCs w:val="28"/>
        </w:rPr>
      </w:pPr>
      <w:r>
        <w:rPr>
          <w:rFonts w:hint="eastAsia" w:ascii="宋体" w:hAnsi="宋体"/>
          <w:sz w:val="28"/>
          <w:szCs w:val="28"/>
        </w:rPr>
        <w:t>约有一半（</w:t>
      </w:r>
      <w:r>
        <w:rPr>
          <w:rFonts w:ascii="宋体" w:hAnsi="宋体"/>
          <w:sz w:val="28"/>
          <w:szCs w:val="28"/>
        </w:rPr>
        <w:t>45.7%</w:t>
      </w:r>
      <w:r>
        <w:rPr>
          <w:rFonts w:hint="eastAsia" w:ascii="宋体" w:hAnsi="宋体"/>
          <w:sz w:val="28"/>
          <w:szCs w:val="28"/>
        </w:rPr>
        <w:t>）的金融从业人员表示有加班现象。</w:t>
      </w:r>
    </w:p>
    <w:p>
      <w:pPr>
        <w:spacing w:line="360" w:lineRule="auto"/>
        <w:jc w:val="center"/>
        <w:rPr>
          <w:rFonts w:hAnsi="宋体"/>
        </w:rPr>
      </w:pPr>
      <w:r>
        <w:pict>
          <v:shape id="_x0000_i1036" o:spt="75" type="#_x0000_t75" style="height:216pt;width:360pt;" filled="f" o:preferrelative="t" stroked="f" coordsize="21600,21600">
            <v:path/>
            <v:fill on="f" focussize="0,0"/>
            <v:stroke on="f" joinstyle="miter"/>
            <v:imagedata r:id="rId17"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13 </w:t>
      </w:r>
      <w:r>
        <w:rPr>
          <w:rFonts w:hint="eastAsia" w:ascii="宋体" w:hAnsi="宋体"/>
          <w:b/>
          <w:bCs/>
          <w:sz w:val="21"/>
          <w:szCs w:val="21"/>
        </w:rPr>
        <w:t>上海金融理财从业人员加班情况比例图</w:t>
      </w:r>
    </w:p>
    <w:p>
      <w:pPr>
        <w:spacing w:line="360" w:lineRule="auto"/>
        <w:jc w:val="center"/>
        <w:rPr>
          <w:rFonts w:hAnsi="宋体"/>
        </w:rPr>
      </w:pPr>
      <w:r>
        <w:rPr>
          <w:rFonts w:hAnsi="宋体"/>
        </w:rPr>
        <w:t xml:space="preserve"> </w:t>
      </w:r>
    </w:p>
    <w:p>
      <w:pPr>
        <w:numPr>
          <w:ilvl w:val="0"/>
          <w:numId w:val="5"/>
        </w:numPr>
        <w:spacing w:line="360" w:lineRule="auto"/>
        <w:rPr>
          <w:rFonts w:ascii="宋体"/>
          <w:b/>
          <w:bCs/>
          <w:sz w:val="28"/>
          <w:szCs w:val="28"/>
        </w:rPr>
      </w:pPr>
      <w:r>
        <w:rPr>
          <w:rFonts w:hint="eastAsia" w:ascii="宋体" w:hAnsi="宋体"/>
          <w:b/>
          <w:bCs/>
          <w:sz w:val="28"/>
          <w:szCs w:val="28"/>
        </w:rPr>
        <w:t>收入满意情况</w:t>
      </w:r>
    </w:p>
    <w:p>
      <w:pPr>
        <w:spacing w:line="360" w:lineRule="auto"/>
        <w:ind w:firstLine="560"/>
        <w:rPr>
          <w:rFonts w:ascii="宋体"/>
          <w:b/>
          <w:bCs/>
          <w:sz w:val="28"/>
          <w:szCs w:val="28"/>
        </w:rPr>
      </w:pPr>
      <w:r>
        <w:rPr>
          <w:rFonts w:hint="eastAsia" w:ascii="宋体" w:hAnsi="宋体"/>
          <w:sz w:val="28"/>
          <w:szCs w:val="28"/>
        </w:rPr>
        <w:t>从调查结果来看，上海金融理财从业人员中</w:t>
      </w:r>
      <w:r>
        <w:rPr>
          <w:rFonts w:ascii="宋体" w:hAnsi="宋体"/>
          <w:sz w:val="28"/>
          <w:szCs w:val="28"/>
        </w:rPr>
        <w:t>58.6%</w:t>
      </w:r>
      <w:r>
        <w:rPr>
          <w:rFonts w:hint="eastAsia" w:ascii="宋体" w:hAnsi="宋体"/>
          <w:sz w:val="28"/>
          <w:szCs w:val="28"/>
        </w:rPr>
        <w:t>的对自己目前的收入不满意，但有信心慢慢改进，</w:t>
      </w:r>
      <w:r>
        <w:rPr>
          <w:rFonts w:ascii="宋体" w:hAnsi="宋体"/>
          <w:sz w:val="28"/>
          <w:szCs w:val="28"/>
        </w:rPr>
        <w:t>16.9%</w:t>
      </w:r>
      <w:r>
        <w:rPr>
          <w:rFonts w:hint="eastAsia" w:ascii="宋体" w:hAnsi="宋体"/>
          <w:sz w:val="28"/>
          <w:szCs w:val="28"/>
        </w:rPr>
        <w:t>的对自己目前的收入满意，其余详见下图。</w:t>
      </w:r>
    </w:p>
    <w:p>
      <w:pPr>
        <w:spacing w:line="360" w:lineRule="auto"/>
        <w:jc w:val="center"/>
        <w:rPr>
          <w:rFonts w:hAnsi="宋体"/>
        </w:rPr>
      </w:pPr>
      <w:r>
        <w:pict>
          <v:shape id="_x0000_i1037" o:spt="75" type="#_x0000_t75" style="height:216pt;width:360pt;" filled="f" o:preferrelative="t" stroked="f" coordsize="21600,21600">
            <v:path/>
            <v:fill on="f" focussize="0,0"/>
            <v:stroke on="f" joinstyle="miter"/>
            <v:imagedata r:id="rId18"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14 </w:t>
      </w:r>
      <w:r>
        <w:rPr>
          <w:rFonts w:hint="eastAsia" w:ascii="宋体" w:hAnsi="宋体"/>
          <w:b/>
          <w:bCs/>
          <w:sz w:val="21"/>
          <w:szCs w:val="21"/>
        </w:rPr>
        <w:t>上海金融理财从业人员收入满意情况比例图</w:t>
      </w:r>
    </w:p>
    <w:p>
      <w:pPr>
        <w:numPr>
          <w:ilvl w:val="0"/>
          <w:numId w:val="5"/>
        </w:numPr>
        <w:spacing w:line="360" w:lineRule="auto"/>
        <w:rPr>
          <w:rFonts w:ascii="宋体"/>
          <w:b/>
          <w:bCs/>
          <w:sz w:val="28"/>
          <w:szCs w:val="28"/>
        </w:rPr>
      </w:pPr>
      <w:r>
        <w:rPr>
          <w:rFonts w:hint="eastAsia" w:ascii="宋体" w:hAnsi="宋体"/>
          <w:b/>
          <w:bCs/>
          <w:sz w:val="28"/>
          <w:szCs w:val="28"/>
        </w:rPr>
        <w:t>业绩指标压力情况</w:t>
      </w:r>
    </w:p>
    <w:p>
      <w:pPr>
        <w:spacing w:line="360" w:lineRule="auto"/>
        <w:ind w:firstLine="566"/>
        <w:rPr>
          <w:rFonts w:ascii="宋体"/>
          <w:b/>
          <w:bCs/>
          <w:sz w:val="28"/>
          <w:szCs w:val="28"/>
        </w:rPr>
      </w:pPr>
      <w:r>
        <w:rPr>
          <w:rFonts w:hint="eastAsia" w:ascii="宋体" w:hAnsi="宋体"/>
          <w:sz w:val="28"/>
          <w:szCs w:val="28"/>
        </w:rPr>
        <w:t>从调查结果来看，上海金融理财从业人员中觉得自己压力大但能承受的占</w:t>
      </w:r>
      <w:r>
        <w:rPr>
          <w:rFonts w:ascii="宋体" w:hAnsi="宋体"/>
          <w:sz w:val="28"/>
          <w:szCs w:val="28"/>
        </w:rPr>
        <w:t>70.7%</w:t>
      </w:r>
      <w:r>
        <w:rPr>
          <w:rFonts w:hint="eastAsia" w:ascii="宋体" w:hAnsi="宋体"/>
          <w:sz w:val="28"/>
          <w:szCs w:val="28"/>
        </w:rPr>
        <w:t>，觉得压力大不堪重负的占</w:t>
      </w:r>
      <w:r>
        <w:rPr>
          <w:rFonts w:ascii="宋体" w:hAnsi="宋体"/>
          <w:sz w:val="28"/>
          <w:szCs w:val="28"/>
        </w:rPr>
        <w:t>24.0%</w:t>
      </w:r>
      <w:r>
        <w:rPr>
          <w:rFonts w:hint="eastAsia" w:ascii="宋体" w:hAnsi="宋体"/>
          <w:sz w:val="28"/>
          <w:szCs w:val="28"/>
        </w:rPr>
        <w:t>，觉得没什么压力的仅占</w:t>
      </w:r>
      <w:r>
        <w:rPr>
          <w:rFonts w:ascii="宋体" w:hAnsi="宋体"/>
          <w:sz w:val="28"/>
          <w:szCs w:val="28"/>
        </w:rPr>
        <w:t>5.3%</w:t>
      </w:r>
      <w:r>
        <w:rPr>
          <w:rFonts w:hint="eastAsia" w:ascii="宋体" w:hAnsi="宋体"/>
          <w:sz w:val="28"/>
          <w:szCs w:val="28"/>
        </w:rPr>
        <w:t>，详见下图。</w:t>
      </w:r>
    </w:p>
    <w:p>
      <w:pPr>
        <w:spacing w:line="360" w:lineRule="auto"/>
        <w:jc w:val="center"/>
        <w:rPr>
          <w:rFonts w:hAnsi="宋体"/>
        </w:rPr>
      </w:pPr>
      <w:r>
        <w:pict>
          <v:shape id="_x0000_i1038" o:spt="75" type="#_x0000_t75" style="height:216pt;width:360pt;" filled="f" o:preferrelative="t" stroked="f" coordsize="21600,21600">
            <v:path/>
            <v:fill on="f" focussize="0,0"/>
            <v:stroke on="f" joinstyle="miter"/>
            <v:imagedata r:id="rId19"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15 </w:t>
      </w:r>
      <w:r>
        <w:rPr>
          <w:rFonts w:hint="eastAsia" w:ascii="宋体" w:hAnsi="宋体"/>
          <w:b/>
          <w:bCs/>
          <w:sz w:val="21"/>
          <w:szCs w:val="21"/>
        </w:rPr>
        <w:t>上海金融理财从业人员业绩指标压力情况比例图</w:t>
      </w:r>
    </w:p>
    <w:p>
      <w:pPr>
        <w:numPr>
          <w:ilvl w:val="0"/>
          <w:numId w:val="5"/>
        </w:numPr>
        <w:spacing w:line="360" w:lineRule="auto"/>
        <w:rPr>
          <w:rFonts w:ascii="宋体"/>
          <w:b/>
          <w:bCs/>
          <w:sz w:val="28"/>
          <w:szCs w:val="28"/>
        </w:rPr>
      </w:pPr>
      <w:r>
        <w:rPr>
          <w:rFonts w:hint="eastAsia" w:ascii="宋体" w:hAnsi="宋体"/>
          <w:b/>
          <w:bCs/>
          <w:sz w:val="28"/>
          <w:szCs w:val="28"/>
        </w:rPr>
        <w:t>工作满意度</w:t>
      </w:r>
    </w:p>
    <w:p>
      <w:pPr>
        <w:spacing w:line="360" w:lineRule="auto"/>
        <w:ind w:firstLine="560"/>
        <w:rPr>
          <w:rFonts w:ascii="宋体"/>
          <w:sz w:val="28"/>
          <w:szCs w:val="28"/>
        </w:rPr>
      </w:pPr>
      <w:r>
        <w:rPr>
          <w:rFonts w:hint="eastAsia" w:ascii="宋体" w:hAnsi="宋体"/>
          <w:sz w:val="28"/>
          <w:szCs w:val="28"/>
        </w:rPr>
        <w:t>从</w:t>
      </w:r>
      <w:r>
        <w:rPr>
          <w:rFonts w:ascii="宋体" w:hAnsi="宋体"/>
          <w:sz w:val="28"/>
          <w:szCs w:val="28"/>
        </w:rPr>
        <w:t>1578</w:t>
      </w:r>
      <w:r>
        <w:rPr>
          <w:rFonts w:hint="eastAsia" w:ascii="宋体" w:hAnsi="宋体"/>
          <w:sz w:val="28"/>
          <w:szCs w:val="28"/>
        </w:rPr>
        <w:t>个有效样本数据中可以看出，金融理财从业人员对目前工作的满意度仅为</w:t>
      </w:r>
      <w:r>
        <w:rPr>
          <w:rFonts w:ascii="宋体" w:hAnsi="宋体"/>
          <w:sz w:val="28"/>
          <w:szCs w:val="28"/>
        </w:rPr>
        <w:t>62.25</w:t>
      </w:r>
      <w:r>
        <w:rPr>
          <w:rFonts w:hint="eastAsia" w:ascii="宋体" w:hAnsi="宋体"/>
          <w:sz w:val="28"/>
          <w:szCs w:val="28"/>
        </w:rPr>
        <w:t>，处于一般水平。从比例来看，选择“满意</w:t>
      </w:r>
      <w:r>
        <w:rPr>
          <w:rFonts w:ascii="宋体" w:hAnsi="宋体"/>
          <w:sz w:val="28"/>
          <w:szCs w:val="28"/>
        </w:rPr>
        <w:t>5</w:t>
      </w:r>
      <w:r>
        <w:rPr>
          <w:rFonts w:hint="eastAsia" w:ascii="宋体" w:hAnsi="宋体"/>
          <w:sz w:val="28"/>
          <w:szCs w:val="28"/>
        </w:rPr>
        <w:t>”和“较满意</w:t>
      </w:r>
      <w:r>
        <w:rPr>
          <w:rFonts w:ascii="宋体" w:hAnsi="宋体"/>
          <w:sz w:val="28"/>
          <w:szCs w:val="28"/>
        </w:rPr>
        <w:t>4</w:t>
      </w:r>
      <w:r>
        <w:rPr>
          <w:rFonts w:hint="eastAsia" w:ascii="宋体" w:hAnsi="宋体"/>
          <w:sz w:val="28"/>
          <w:szCs w:val="28"/>
        </w:rPr>
        <w:t>”占到</w:t>
      </w:r>
      <w:r>
        <w:rPr>
          <w:rFonts w:ascii="宋体" w:hAnsi="宋体"/>
          <w:sz w:val="28"/>
          <w:szCs w:val="28"/>
        </w:rPr>
        <w:t>53.8%</w:t>
      </w:r>
      <w:r>
        <w:rPr>
          <w:rFonts w:hint="eastAsia" w:ascii="宋体" w:hAnsi="宋体"/>
          <w:sz w:val="28"/>
          <w:szCs w:val="28"/>
        </w:rPr>
        <w:t>。</w:t>
      </w:r>
    </w:p>
    <w:p>
      <w:pPr>
        <w:spacing w:line="360" w:lineRule="auto"/>
        <w:jc w:val="center"/>
        <w:rPr>
          <w:rFonts w:hAnsi="宋体"/>
        </w:rPr>
      </w:pPr>
      <w:r>
        <w:pict>
          <v:shape id="_x0000_i1039" o:spt="75" type="#_x0000_t75" style="height:216pt;width:360pt;" filled="f" o:preferrelative="t" stroked="f" coordsize="21600,21600">
            <v:path/>
            <v:fill on="f" focussize="0,0"/>
            <v:stroke on="f" joinstyle="miter"/>
            <v:imagedata r:id="rId20"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16 </w:t>
      </w:r>
      <w:r>
        <w:rPr>
          <w:rFonts w:hint="eastAsia" w:ascii="宋体" w:hAnsi="宋体"/>
          <w:b/>
          <w:bCs/>
          <w:sz w:val="21"/>
          <w:szCs w:val="21"/>
        </w:rPr>
        <w:t>上海金融理财从业人员工作满意度情况比例图</w:t>
      </w:r>
    </w:p>
    <w:p>
      <w:pPr>
        <w:spacing w:line="360" w:lineRule="auto"/>
        <w:ind w:firstLine="405"/>
        <w:rPr>
          <w:rFonts w:ascii="宋体"/>
          <w:sz w:val="28"/>
          <w:szCs w:val="28"/>
        </w:rPr>
      </w:pPr>
      <w:r>
        <w:rPr>
          <w:rFonts w:hint="eastAsia" w:ascii="宋体" w:hAnsi="宋体"/>
          <w:sz w:val="28"/>
          <w:szCs w:val="28"/>
        </w:rPr>
        <w:t>对金融理财从业人员的年龄、收入、学历等数据进行交叉分析发现，</w:t>
      </w:r>
      <w:r>
        <w:rPr>
          <w:rFonts w:ascii="宋体" w:hAnsi="宋体"/>
          <w:sz w:val="28"/>
          <w:szCs w:val="28"/>
        </w:rPr>
        <w:t>26-40</w:t>
      </w:r>
      <w:r>
        <w:rPr>
          <w:rFonts w:hint="eastAsia" w:ascii="宋体" w:hAnsi="宋体"/>
          <w:sz w:val="28"/>
          <w:szCs w:val="28"/>
        </w:rPr>
        <w:t>岁的中年从业人员满意度较低，学历较低的从业人员满意度也较低，年收入水平越低的满意度越低，理财工作年限较短的满意度较低。</w:t>
      </w:r>
    </w:p>
    <w:p>
      <w:pPr>
        <w:spacing w:line="360" w:lineRule="auto"/>
        <w:ind w:firstLine="405"/>
        <w:rPr>
          <w:rFonts w:hAnsi="宋体"/>
          <w:sz w:val="21"/>
          <w:szCs w:val="21"/>
        </w:rPr>
      </w:pPr>
      <w:r>
        <w:rPr>
          <w:rFonts w:hAnsi="宋体"/>
          <w:sz w:val="21"/>
          <w:szCs w:val="21"/>
        </w:rPr>
        <w:t xml:space="preserve"> </w:t>
      </w:r>
    </w:p>
    <w:tbl>
      <w:tblPr>
        <w:tblStyle w:val="9"/>
        <w:tblW w:w="6056" w:type="dxa"/>
        <w:jc w:val="center"/>
        <w:tblInd w:w="0" w:type="dxa"/>
        <w:tblLayout w:type="fixed"/>
        <w:tblCellMar>
          <w:top w:w="0" w:type="dxa"/>
          <w:left w:w="108" w:type="dxa"/>
          <w:bottom w:w="0" w:type="dxa"/>
          <w:right w:w="108" w:type="dxa"/>
        </w:tblCellMar>
      </w:tblPr>
      <w:tblGrid>
        <w:gridCol w:w="1321"/>
        <w:gridCol w:w="1080"/>
        <w:gridCol w:w="585"/>
        <w:gridCol w:w="1856"/>
        <w:gridCol w:w="1214"/>
      </w:tblGrid>
      <w:tr>
        <w:tblPrEx>
          <w:tblLayout w:type="fixed"/>
          <w:tblCellMar>
            <w:top w:w="0" w:type="dxa"/>
            <w:left w:w="108" w:type="dxa"/>
            <w:bottom w:w="0" w:type="dxa"/>
            <w:right w:w="108" w:type="dxa"/>
          </w:tblCellMar>
        </w:tblPrEx>
        <w:trPr>
          <w:trHeight w:val="285" w:hRule="atLeast"/>
          <w:jc w:val="center"/>
        </w:trPr>
        <w:tc>
          <w:tcPr>
            <w:tcW w:w="13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年龄</w:t>
            </w:r>
          </w:p>
        </w:tc>
        <w:tc>
          <w:tcPr>
            <w:tcW w:w="1080" w:type="dxa"/>
            <w:tcBorders>
              <w:top w:val="single" w:color="000000" w:sz="4" w:space="0"/>
              <w:left w:val="nil"/>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满意度</w:t>
            </w:r>
          </w:p>
        </w:tc>
        <w:tc>
          <w:tcPr>
            <w:tcW w:w="585" w:type="dxa"/>
            <w:tcBorders>
              <w:top w:val="single" w:color="000000" w:sz="4" w:space="0"/>
              <w:left w:val="nil"/>
              <w:bottom w:val="nil"/>
              <w:right w:val="single" w:color="000000" w:sz="4" w:space="0"/>
            </w:tcBorders>
            <w:vAlign w:val="center"/>
          </w:tcPr>
          <w:p>
            <w:pPr>
              <w:jc w:val="center"/>
              <w:rPr>
                <w:rFonts w:ascii="宋体"/>
                <w:b/>
                <w:bCs/>
                <w:color w:val="000000"/>
                <w:sz w:val="22"/>
                <w:szCs w:val="22"/>
              </w:rPr>
            </w:pPr>
          </w:p>
        </w:tc>
        <w:tc>
          <w:tcPr>
            <w:tcW w:w="1856" w:type="dxa"/>
            <w:tcBorders>
              <w:top w:val="single" w:color="000000" w:sz="4" w:space="0"/>
              <w:left w:val="nil"/>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年收入</w:t>
            </w:r>
          </w:p>
        </w:tc>
        <w:tc>
          <w:tcPr>
            <w:tcW w:w="1214" w:type="dxa"/>
            <w:tcBorders>
              <w:top w:val="single" w:color="000000" w:sz="4" w:space="0"/>
              <w:left w:val="nil"/>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满意度</w:t>
            </w:r>
          </w:p>
        </w:tc>
      </w:tr>
      <w:tr>
        <w:tblPrEx>
          <w:tblLayout w:type="fixed"/>
          <w:tblCellMar>
            <w:top w:w="0" w:type="dxa"/>
            <w:left w:w="108" w:type="dxa"/>
            <w:bottom w:w="0" w:type="dxa"/>
            <w:right w:w="108" w:type="dxa"/>
          </w:tblCellMar>
        </w:tblPrEx>
        <w:trPr>
          <w:trHeight w:val="270"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25</w:t>
            </w:r>
            <w:r>
              <w:rPr>
                <w:rFonts w:hint="eastAsia" w:ascii="宋体" w:hAnsi="宋体"/>
                <w:color w:val="000000"/>
                <w:sz w:val="20"/>
                <w:szCs w:val="20"/>
              </w:rPr>
              <w:t>岁及以下</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69.01</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100</w:t>
            </w:r>
            <w:r>
              <w:rPr>
                <w:rFonts w:hint="eastAsia" w:ascii="宋体" w:hAnsi="宋体"/>
                <w:color w:val="000000"/>
                <w:sz w:val="20"/>
                <w:szCs w:val="20"/>
              </w:rPr>
              <w:t>万元及以上</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77.08</w:t>
            </w:r>
          </w:p>
        </w:tc>
      </w:tr>
      <w:tr>
        <w:tblPrEx>
          <w:tblLayout w:type="fixed"/>
          <w:tblCellMar>
            <w:top w:w="0" w:type="dxa"/>
            <w:left w:w="108" w:type="dxa"/>
            <w:bottom w:w="0" w:type="dxa"/>
            <w:right w:w="108" w:type="dxa"/>
          </w:tblCellMar>
        </w:tblPrEx>
        <w:trPr>
          <w:trHeight w:val="270"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26-30</w:t>
            </w:r>
            <w:r>
              <w:rPr>
                <w:rFonts w:hint="eastAsia" w:ascii="宋体" w:hAnsi="宋体"/>
                <w:color w:val="000000"/>
                <w:sz w:val="20"/>
                <w:szCs w:val="20"/>
              </w:rPr>
              <w:t>岁</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61.73</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vAlign w:val="center"/>
          </w:tcPr>
          <w:p>
            <w:pPr>
              <w:jc w:val="left"/>
              <w:rPr>
                <w:rFonts w:ascii="宋体"/>
                <w:color w:val="000000"/>
                <w:sz w:val="20"/>
                <w:szCs w:val="20"/>
              </w:rPr>
            </w:pPr>
            <w:r>
              <w:rPr>
                <w:rFonts w:ascii="宋体" w:hAnsi="宋体"/>
                <w:color w:val="000000"/>
                <w:sz w:val="20"/>
                <w:szCs w:val="20"/>
              </w:rPr>
              <w:t>51-100</w:t>
            </w:r>
            <w:r>
              <w:rPr>
                <w:rFonts w:hint="eastAsia" w:ascii="宋体" w:hAnsi="宋体"/>
                <w:color w:val="000000"/>
                <w:sz w:val="20"/>
                <w:szCs w:val="20"/>
              </w:rPr>
              <w:t>万元</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69.18</w:t>
            </w:r>
          </w:p>
        </w:tc>
      </w:tr>
      <w:tr>
        <w:tblPrEx>
          <w:tblLayout w:type="fixed"/>
          <w:tblCellMar>
            <w:top w:w="0" w:type="dxa"/>
            <w:left w:w="108" w:type="dxa"/>
            <w:bottom w:w="0" w:type="dxa"/>
            <w:right w:w="108" w:type="dxa"/>
          </w:tblCellMar>
        </w:tblPrEx>
        <w:trPr>
          <w:trHeight w:val="270"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31-40</w:t>
            </w:r>
            <w:r>
              <w:rPr>
                <w:rFonts w:hint="eastAsia" w:ascii="宋体" w:hAnsi="宋体"/>
                <w:color w:val="000000"/>
                <w:sz w:val="20"/>
                <w:szCs w:val="20"/>
              </w:rPr>
              <w:t>岁</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60.60</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21-50</w:t>
            </w:r>
            <w:r>
              <w:rPr>
                <w:rFonts w:hint="eastAsia" w:ascii="宋体" w:hAnsi="宋体"/>
                <w:color w:val="000000"/>
                <w:sz w:val="20"/>
                <w:szCs w:val="20"/>
              </w:rPr>
              <w:t>万元</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65.90</w:t>
            </w:r>
          </w:p>
        </w:tc>
      </w:tr>
      <w:tr>
        <w:tblPrEx>
          <w:tblLayout w:type="fixed"/>
          <w:tblCellMar>
            <w:top w:w="0" w:type="dxa"/>
            <w:left w:w="108" w:type="dxa"/>
            <w:bottom w:w="0" w:type="dxa"/>
            <w:right w:w="108" w:type="dxa"/>
          </w:tblCellMar>
        </w:tblPrEx>
        <w:trPr>
          <w:trHeight w:val="285"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40</w:t>
            </w:r>
            <w:r>
              <w:rPr>
                <w:rFonts w:hint="eastAsia" w:ascii="宋体" w:hAnsi="宋体"/>
                <w:color w:val="000000"/>
                <w:sz w:val="20"/>
                <w:szCs w:val="20"/>
              </w:rPr>
              <w:t>岁以上</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64.56</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11-20</w:t>
            </w:r>
            <w:r>
              <w:rPr>
                <w:rFonts w:hint="eastAsia" w:ascii="宋体" w:hAnsi="宋体"/>
                <w:color w:val="000000"/>
                <w:sz w:val="20"/>
                <w:szCs w:val="20"/>
              </w:rPr>
              <w:t>万元</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61.03</w:t>
            </w:r>
          </w:p>
        </w:tc>
      </w:tr>
      <w:tr>
        <w:tblPrEx>
          <w:tblLayout w:type="fixed"/>
          <w:tblCellMar>
            <w:top w:w="0" w:type="dxa"/>
            <w:left w:w="108" w:type="dxa"/>
            <w:bottom w:w="0" w:type="dxa"/>
            <w:right w:w="108" w:type="dxa"/>
          </w:tblCellMar>
        </w:tblPrEx>
        <w:trPr>
          <w:trHeight w:val="285" w:hRule="atLeast"/>
          <w:jc w:val="center"/>
        </w:trPr>
        <w:tc>
          <w:tcPr>
            <w:tcW w:w="1321" w:type="dxa"/>
            <w:tcBorders>
              <w:top w:val="single" w:color="000000" w:sz="4" w:space="0"/>
              <w:left w:val="single" w:color="000000" w:sz="4" w:space="0"/>
              <w:bottom w:val="single" w:color="000000" w:sz="4" w:space="0"/>
              <w:right w:val="single" w:color="000000" w:sz="4" w:space="0"/>
            </w:tcBorders>
            <w:vAlign w:val="center"/>
          </w:tcPr>
          <w:p>
            <w:pPr>
              <w:jc w:val="left"/>
              <w:rPr>
                <w:rFonts w:ascii="宋体"/>
                <w:color w:val="000000"/>
                <w:sz w:val="22"/>
                <w:szCs w:val="22"/>
              </w:rPr>
            </w:pPr>
          </w:p>
        </w:tc>
        <w:tc>
          <w:tcPr>
            <w:tcW w:w="1080" w:type="dxa"/>
            <w:tcBorders>
              <w:top w:val="single" w:color="000000" w:sz="4" w:space="0"/>
              <w:left w:val="nil"/>
              <w:bottom w:val="single" w:color="000000" w:sz="4" w:space="0"/>
              <w:right w:val="single" w:color="000000" w:sz="4" w:space="0"/>
            </w:tcBorders>
            <w:vAlign w:val="center"/>
          </w:tcPr>
          <w:p>
            <w:pPr>
              <w:jc w:val="left"/>
              <w:rPr>
                <w:rFonts w:ascii="宋体"/>
                <w:color w:val="000000"/>
                <w:sz w:val="22"/>
                <w:szCs w:val="22"/>
              </w:rPr>
            </w:pP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10</w:t>
            </w:r>
            <w:r>
              <w:rPr>
                <w:rFonts w:hint="eastAsia" w:ascii="宋体" w:hAnsi="宋体"/>
                <w:color w:val="000000"/>
                <w:sz w:val="20"/>
                <w:szCs w:val="20"/>
              </w:rPr>
              <w:t>万元及以下</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58.05</w:t>
            </w:r>
          </w:p>
        </w:tc>
      </w:tr>
      <w:tr>
        <w:tblPrEx>
          <w:tblLayout w:type="fixed"/>
          <w:tblCellMar>
            <w:top w:w="0" w:type="dxa"/>
            <w:left w:w="108" w:type="dxa"/>
            <w:bottom w:w="0" w:type="dxa"/>
            <w:right w:w="108" w:type="dxa"/>
          </w:tblCellMar>
        </w:tblPrEx>
        <w:trPr>
          <w:trHeight w:val="270" w:hRule="atLeast"/>
          <w:jc w:val="center"/>
        </w:trPr>
        <w:tc>
          <w:tcPr>
            <w:tcW w:w="13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学历</w:t>
            </w:r>
          </w:p>
        </w:tc>
        <w:tc>
          <w:tcPr>
            <w:tcW w:w="1080" w:type="dxa"/>
            <w:tcBorders>
              <w:top w:val="single" w:color="000000" w:sz="4" w:space="0"/>
              <w:left w:val="nil"/>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满意度</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理</w:t>
            </w:r>
            <w:r>
              <w:rPr>
                <w:rFonts w:hint="eastAsia" w:ascii="宋体" w:hAnsi="宋体"/>
                <w:b/>
                <w:bCs/>
                <w:color w:val="000000"/>
                <w:sz w:val="18"/>
                <w:szCs w:val="18"/>
              </w:rPr>
              <w:t>财</w:t>
            </w:r>
            <w:r>
              <w:rPr>
                <w:rFonts w:hint="eastAsia" w:ascii="MingLiU" w:eastAsia="MingLiU"/>
                <w:b/>
                <w:bCs/>
                <w:color w:val="000000"/>
                <w:sz w:val="18"/>
                <w:szCs w:val="18"/>
              </w:rPr>
              <w:t>工作年限</w:t>
            </w:r>
          </w:p>
        </w:tc>
        <w:tc>
          <w:tcPr>
            <w:tcW w:w="1214" w:type="dxa"/>
            <w:tcBorders>
              <w:top w:val="single" w:color="000000" w:sz="4" w:space="0"/>
              <w:left w:val="nil"/>
              <w:bottom w:val="single" w:color="000000" w:sz="4" w:space="0"/>
              <w:right w:val="single" w:color="000000" w:sz="4" w:space="0"/>
            </w:tcBorders>
            <w:vAlign w:val="center"/>
          </w:tcPr>
          <w:p>
            <w:pPr>
              <w:jc w:val="center"/>
              <w:rPr>
                <w:rFonts w:ascii="宋体"/>
                <w:b/>
                <w:bCs/>
                <w:color w:val="000000"/>
                <w:sz w:val="20"/>
                <w:szCs w:val="20"/>
              </w:rPr>
            </w:pPr>
            <w:r>
              <w:rPr>
                <w:rFonts w:hint="eastAsia" w:ascii="宋体" w:hAnsi="宋体"/>
                <w:b/>
                <w:bCs/>
                <w:color w:val="000000"/>
                <w:sz w:val="20"/>
                <w:szCs w:val="20"/>
              </w:rPr>
              <w:t>满意度</w:t>
            </w:r>
          </w:p>
        </w:tc>
      </w:tr>
      <w:tr>
        <w:tblPrEx>
          <w:tblLayout w:type="fixed"/>
          <w:tblCellMar>
            <w:top w:w="0" w:type="dxa"/>
            <w:left w:w="108" w:type="dxa"/>
            <w:bottom w:w="0" w:type="dxa"/>
            <w:right w:w="108" w:type="dxa"/>
          </w:tblCellMar>
        </w:tblPrEx>
        <w:trPr>
          <w:trHeight w:val="285"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hint="eastAsia" w:ascii="宋体" w:hAnsi="宋体"/>
                <w:color w:val="000000"/>
                <w:sz w:val="20"/>
                <w:szCs w:val="20"/>
              </w:rPr>
              <w:t>大专及以下</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63.32</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10</w:t>
            </w:r>
            <w:r>
              <w:rPr>
                <w:rFonts w:hint="eastAsia" w:ascii="宋体" w:hAnsi="宋体"/>
                <w:color w:val="000000"/>
                <w:sz w:val="20"/>
                <w:szCs w:val="20"/>
              </w:rPr>
              <w:t>年（含）及以上</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63.60</w:t>
            </w:r>
          </w:p>
        </w:tc>
      </w:tr>
      <w:tr>
        <w:tblPrEx>
          <w:tblLayout w:type="fixed"/>
          <w:tblCellMar>
            <w:top w:w="0" w:type="dxa"/>
            <w:left w:w="108" w:type="dxa"/>
            <w:bottom w:w="0" w:type="dxa"/>
            <w:right w:w="108" w:type="dxa"/>
          </w:tblCellMar>
        </w:tblPrEx>
        <w:trPr>
          <w:trHeight w:val="300"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hint="eastAsia" w:ascii="宋体" w:hAnsi="宋体"/>
                <w:color w:val="000000"/>
                <w:sz w:val="20"/>
                <w:szCs w:val="20"/>
              </w:rPr>
              <w:t>本科</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61.49</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5</w:t>
            </w:r>
            <w:r>
              <w:rPr>
                <w:rFonts w:hint="eastAsia" w:ascii="宋体" w:hAnsi="宋体"/>
                <w:color w:val="000000"/>
                <w:sz w:val="20"/>
                <w:szCs w:val="20"/>
              </w:rPr>
              <w:t>（含）</w:t>
            </w:r>
            <w:r>
              <w:rPr>
                <w:rFonts w:ascii="宋体" w:hAnsi="宋体"/>
                <w:color w:val="000000"/>
                <w:sz w:val="20"/>
                <w:szCs w:val="20"/>
              </w:rPr>
              <w:t>-10</w:t>
            </w:r>
            <w:r>
              <w:rPr>
                <w:rFonts w:hint="eastAsia" w:ascii="宋体" w:hAnsi="宋体"/>
                <w:color w:val="000000"/>
                <w:sz w:val="20"/>
                <w:szCs w:val="20"/>
              </w:rPr>
              <w:t>年</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61.04</w:t>
            </w:r>
          </w:p>
        </w:tc>
      </w:tr>
      <w:tr>
        <w:tblPrEx>
          <w:tblLayout w:type="fixed"/>
          <w:tblCellMar>
            <w:top w:w="0" w:type="dxa"/>
            <w:left w:w="108" w:type="dxa"/>
            <w:bottom w:w="0" w:type="dxa"/>
            <w:right w:w="108" w:type="dxa"/>
          </w:tblCellMar>
        </w:tblPrEx>
        <w:trPr>
          <w:trHeight w:val="285"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hint="eastAsia" w:ascii="宋体" w:hAnsi="宋体"/>
                <w:color w:val="000000"/>
                <w:sz w:val="20"/>
                <w:szCs w:val="20"/>
              </w:rPr>
              <w:t>硕士</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66.72</w:t>
            </w:r>
          </w:p>
        </w:tc>
        <w:tc>
          <w:tcPr>
            <w:tcW w:w="585" w:type="dxa"/>
            <w:tcBorders>
              <w:top w:val="nil"/>
              <w:left w:val="nil"/>
              <w:bottom w:val="nil"/>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2</w:t>
            </w:r>
            <w:r>
              <w:rPr>
                <w:rFonts w:hint="eastAsia" w:ascii="宋体" w:hAnsi="宋体"/>
                <w:color w:val="000000"/>
                <w:sz w:val="20"/>
                <w:szCs w:val="20"/>
              </w:rPr>
              <w:t>（含）</w:t>
            </w:r>
            <w:r>
              <w:rPr>
                <w:rFonts w:ascii="宋体" w:hAnsi="宋体"/>
                <w:color w:val="000000"/>
                <w:sz w:val="20"/>
                <w:szCs w:val="20"/>
              </w:rPr>
              <w:t>-5</w:t>
            </w:r>
            <w:r>
              <w:rPr>
                <w:rFonts w:hint="eastAsia" w:ascii="宋体" w:hAnsi="宋体"/>
                <w:color w:val="000000"/>
                <w:sz w:val="20"/>
                <w:szCs w:val="20"/>
              </w:rPr>
              <w:t>年</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59.82</w:t>
            </w:r>
          </w:p>
        </w:tc>
      </w:tr>
      <w:tr>
        <w:tblPrEx>
          <w:tblLayout w:type="fixed"/>
          <w:tblCellMar>
            <w:top w:w="0" w:type="dxa"/>
            <w:left w:w="108" w:type="dxa"/>
            <w:bottom w:w="0" w:type="dxa"/>
            <w:right w:w="108" w:type="dxa"/>
          </w:tblCellMar>
        </w:tblPrEx>
        <w:trPr>
          <w:trHeight w:val="270" w:hRule="atLeast"/>
          <w:jc w:val="center"/>
        </w:trPr>
        <w:tc>
          <w:tcPr>
            <w:tcW w:w="1321" w:type="dxa"/>
            <w:tcBorders>
              <w:top w:val="single" w:color="000000" w:sz="4" w:space="0"/>
              <w:left w:val="single" w:color="000000" w:sz="4" w:space="0"/>
              <w:bottom w:val="single" w:color="000000" w:sz="4" w:space="0"/>
              <w:right w:val="single" w:color="000000" w:sz="4" w:space="0"/>
            </w:tcBorders>
          </w:tcPr>
          <w:p>
            <w:pPr>
              <w:jc w:val="left"/>
              <w:rPr>
                <w:rFonts w:ascii="宋体"/>
                <w:color w:val="000000"/>
                <w:sz w:val="20"/>
                <w:szCs w:val="20"/>
              </w:rPr>
            </w:pPr>
            <w:r>
              <w:rPr>
                <w:rFonts w:hint="eastAsia" w:ascii="宋体" w:hAnsi="宋体"/>
                <w:color w:val="000000"/>
                <w:sz w:val="20"/>
                <w:szCs w:val="20"/>
              </w:rPr>
              <w:t>博士及以上</w:t>
            </w:r>
          </w:p>
        </w:tc>
        <w:tc>
          <w:tcPr>
            <w:tcW w:w="1080"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78.57</w:t>
            </w:r>
          </w:p>
        </w:tc>
        <w:tc>
          <w:tcPr>
            <w:tcW w:w="585" w:type="dxa"/>
            <w:tcBorders>
              <w:top w:val="nil"/>
              <w:left w:val="nil"/>
              <w:bottom w:val="single" w:color="000000" w:sz="4" w:space="0"/>
              <w:right w:val="single" w:color="000000" w:sz="4" w:space="0"/>
            </w:tcBorders>
            <w:vAlign w:val="center"/>
          </w:tcPr>
          <w:p>
            <w:pPr>
              <w:jc w:val="left"/>
              <w:rPr>
                <w:rFonts w:ascii="宋体"/>
                <w:color w:val="000000"/>
                <w:sz w:val="22"/>
                <w:szCs w:val="22"/>
              </w:rPr>
            </w:pPr>
          </w:p>
        </w:tc>
        <w:tc>
          <w:tcPr>
            <w:tcW w:w="1856" w:type="dxa"/>
            <w:tcBorders>
              <w:top w:val="single" w:color="000000" w:sz="4" w:space="0"/>
              <w:left w:val="nil"/>
              <w:bottom w:val="single" w:color="000000" w:sz="4" w:space="0"/>
              <w:right w:val="single" w:color="000000" w:sz="4" w:space="0"/>
            </w:tcBorders>
          </w:tcPr>
          <w:p>
            <w:pPr>
              <w:jc w:val="left"/>
              <w:rPr>
                <w:rFonts w:ascii="宋体"/>
                <w:color w:val="000000"/>
                <w:sz w:val="20"/>
                <w:szCs w:val="20"/>
              </w:rPr>
            </w:pPr>
            <w:r>
              <w:rPr>
                <w:rFonts w:ascii="宋体" w:hAnsi="宋体"/>
                <w:color w:val="000000"/>
                <w:sz w:val="20"/>
                <w:szCs w:val="20"/>
              </w:rPr>
              <w:t>2</w:t>
            </w:r>
            <w:r>
              <w:rPr>
                <w:rFonts w:hint="eastAsia" w:ascii="宋体" w:hAnsi="宋体"/>
                <w:color w:val="000000"/>
                <w:sz w:val="20"/>
                <w:szCs w:val="20"/>
              </w:rPr>
              <w:t>年以下</w:t>
            </w:r>
          </w:p>
        </w:tc>
        <w:tc>
          <w:tcPr>
            <w:tcW w:w="1214" w:type="dxa"/>
            <w:tcBorders>
              <w:top w:val="single" w:color="000000" w:sz="4" w:space="0"/>
              <w:left w:val="nil"/>
              <w:bottom w:val="single" w:color="000000" w:sz="4" w:space="0"/>
              <w:right w:val="single" w:color="000000" w:sz="4" w:space="0"/>
            </w:tcBorders>
            <w:vAlign w:val="center"/>
          </w:tcPr>
          <w:p>
            <w:pPr>
              <w:jc w:val="right"/>
              <w:rPr>
                <w:rFonts w:ascii="宋体"/>
                <w:color w:val="000000"/>
                <w:sz w:val="20"/>
                <w:szCs w:val="20"/>
              </w:rPr>
            </w:pPr>
            <w:r>
              <w:rPr>
                <w:rFonts w:ascii="宋体" w:hAnsi="宋体"/>
                <w:color w:val="000000"/>
                <w:sz w:val="20"/>
                <w:szCs w:val="20"/>
              </w:rPr>
              <w:t>66.12</w:t>
            </w:r>
          </w:p>
        </w:tc>
      </w:tr>
    </w:tbl>
    <w:p>
      <w:pPr>
        <w:jc w:val="left"/>
        <w:rPr>
          <w:rFonts w:hAnsi="宋体"/>
          <w:sz w:val="30"/>
          <w:szCs w:val="30"/>
        </w:rPr>
      </w:pPr>
      <w:r>
        <w:rPr>
          <w:rFonts w:hint="eastAsia" w:ascii="宋体" w:hAnsi="宋体"/>
          <w:b/>
          <w:bCs/>
          <w:sz w:val="30"/>
          <w:szCs w:val="30"/>
        </w:rPr>
        <w:t>（五）金融理财从业人员维护客户情况</w:t>
      </w:r>
    </w:p>
    <w:p>
      <w:pPr>
        <w:spacing w:line="360" w:lineRule="auto"/>
        <w:rPr>
          <w:rFonts w:ascii="宋体"/>
          <w:b/>
          <w:bCs/>
          <w:sz w:val="28"/>
          <w:szCs w:val="28"/>
        </w:rPr>
      </w:pPr>
      <w:r>
        <w:rPr>
          <w:rFonts w:ascii="宋体" w:hAnsi="宋体"/>
          <w:b/>
          <w:bCs/>
          <w:sz w:val="28"/>
          <w:szCs w:val="28"/>
        </w:rPr>
        <w:t>1</w:t>
      </w:r>
      <w:r>
        <w:rPr>
          <w:rFonts w:hint="eastAsia" w:ascii="宋体" w:hAnsi="宋体"/>
          <w:b/>
          <w:bCs/>
          <w:sz w:val="28"/>
          <w:szCs w:val="28"/>
        </w:rPr>
        <w:t>、管理客户规模分布</w:t>
      </w:r>
    </w:p>
    <w:p>
      <w:pPr>
        <w:spacing w:line="360" w:lineRule="auto"/>
        <w:ind w:firstLine="560"/>
        <w:rPr>
          <w:rFonts w:ascii="宋体"/>
          <w:b/>
          <w:bCs/>
          <w:sz w:val="28"/>
          <w:szCs w:val="28"/>
        </w:rPr>
      </w:pPr>
      <w:r>
        <w:rPr>
          <w:rFonts w:hint="eastAsia" w:ascii="宋体" w:hAnsi="宋体"/>
          <w:sz w:val="28"/>
          <w:szCs w:val="28"/>
        </w:rPr>
        <w:t>从调查结果来看，上海金融理财从业人员中管理客户规模在</w:t>
      </w:r>
      <w:r>
        <w:rPr>
          <w:rFonts w:ascii="宋体" w:hAnsi="宋体"/>
          <w:sz w:val="28"/>
          <w:szCs w:val="28"/>
        </w:rPr>
        <w:t>100</w:t>
      </w:r>
      <w:r>
        <w:rPr>
          <w:rFonts w:hint="eastAsia" w:ascii="宋体" w:hAnsi="宋体"/>
          <w:sz w:val="28"/>
          <w:szCs w:val="28"/>
        </w:rPr>
        <w:t>位以上的占</w:t>
      </w:r>
      <w:r>
        <w:rPr>
          <w:rFonts w:ascii="宋体" w:hAnsi="宋体"/>
          <w:sz w:val="28"/>
          <w:szCs w:val="28"/>
        </w:rPr>
        <w:t>53.4%</w:t>
      </w:r>
      <w:r>
        <w:rPr>
          <w:rFonts w:hint="eastAsia" w:ascii="宋体" w:hAnsi="宋体"/>
          <w:sz w:val="28"/>
          <w:szCs w:val="28"/>
        </w:rPr>
        <w:t>，</w:t>
      </w:r>
      <w:r>
        <w:rPr>
          <w:rFonts w:ascii="宋体" w:hAnsi="宋体"/>
          <w:sz w:val="28"/>
          <w:szCs w:val="28"/>
        </w:rPr>
        <w:t>51-100</w:t>
      </w:r>
      <w:r>
        <w:rPr>
          <w:rFonts w:hint="eastAsia" w:ascii="宋体" w:hAnsi="宋体"/>
          <w:sz w:val="28"/>
          <w:szCs w:val="28"/>
        </w:rPr>
        <w:t>位的占</w:t>
      </w:r>
      <w:r>
        <w:rPr>
          <w:rFonts w:ascii="宋体" w:hAnsi="宋体"/>
          <w:sz w:val="28"/>
          <w:szCs w:val="28"/>
        </w:rPr>
        <w:t>11.5%</w:t>
      </w:r>
      <w:r>
        <w:rPr>
          <w:rFonts w:hint="eastAsia" w:ascii="宋体" w:hAnsi="宋体"/>
          <w:sz w:val="28"/>
          <w:szCs w:val="28"/>
        </w:rPr>
        <w:t>，</w:t>
      </w:r>
      <w:r>
        <w:rPr>
          <w:rFonts w:ascii="宋体" w:hAnsi="宋体"/>
          <w:sz w:val="28"/>
          <w:szCs w:val="28"/>
        </w:rPr>
        <w:t>21-50</w:t>
      </w:r>
      <w:r>
        <w:rPr>
          <w:rFonts w:hint="eastAsia" w:ascii="宋体" w:hAnsi="宋体"/>
          <w:sz w:val="28"/>
          <w:szCs w:val="28"/>
        </w:rPr>
        <w:t>位的占</w:t>
      </w:r>
      <w:r>
        <w:rPr>
          <w:rFonts w:ascii="宋体" w:hAnsi="宋体"/>
          <w:sz w:val="28"/>
          <w:szCs w:val="28"/>
        </w:rPr>
        <w:t>14.6%</w:t>
      </w:r>
      <w:r>
        <w:rPr>
          <w:rFonts w:hint="eastAsia" w:ascii="宋体" w:hAnsi="宋体"/>
          <w:sz w:val="28"/>
          <w:szCs w:val="28"/>
        </w:rPr>
        <w:t>，</w:t>
      </w:r>
      <w:r>
        <w:rPr>
          <w:rFonts w:ascii="宋体" w:hAnsi="宋体"/>
          <w:sz w:val="28"/>
          <w:szCs w:val="28"/>
        </w:rPr>
        <w:t>20</w:t>
      </w:r>
      <w:r>
        <w:rPr>
          <w:rFonts w:hint="eastAsia" w:ascii="宋体" w:hAnsi="宋体"/>
          <w:sz w:val="28"/>
          <w:szCs w:val="28"/>
        </w:rPr>
        <w:t>位及以下的占</w:t>
      </w:r>
      <w:r>
        <w:rPr>
          <w:rFonts w:ascii="宋体" w:hAnsi="宋体"/>
          <w:sz w:val="28"/>
          <w:szCs w:val="28"/>
        </w:rPr>
        <w:t>20.5%</w:t>
      </w:r>
      <w:r>
        <w:rPr>
          <w:rFonts w:hint="eastAsia" w:ascii="宋体" w:hAnsi="宋体"/>
          <w:sz w:val="28"/>
          <w:szCs w:val="28"/>
        </w:rPr>
        <w:t>，详见下图。</w:t>
      </w:r>
    </w:p>
    <w:p>
      <w:pPr>
        <w:spacing w:line="360" w:lineRule="auto"/>
        <w:jc w:val="center"/>
        <w:rPr>
          <w:rFonts w:hAnsi="宋体"/>
        </w:rPr>
      </w:pPr>
      <w:r>
        <w:pict>
          <v:shape id="_x0000_i1040" o:spt="75" type="#_x0000_t75" style="height:216pt;width:360pt;" filled="f" o:preferrelative="t" stroked="f" coordsize="21600,21600">
            <v:path/>
            <v:fill on="f" focussize="0,0"/>
            <v:stroke on="f" joinstyle="miter"/>
            <v:imagedata r:id="rId21"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17 </w:t>
      </w:r>
      <w:r>
        <w:rPr>
          <w:rFonts w:hint="eastAsia" w:ascii="宋体" w:hAnsi="宋体"/>
          <w:b/>
          <w:bCs/>
          <w:sz w:val="21"/>
          <w:szCs w:val="21"/>
        </w:rPr>
        <w:t>上海金融理财从业人员管理客户规模分布比例图</w:t>
      </w:r>
    </w:p>
    <w:p>
      <w:pPr>
        <w:numPr>
          <w:ilvl w:val="0"/>
          <w:numId w:val="6"/>
        </w:numPr>
        <w:spacing w:line="360" w:lineRule="auto"/>
        <w:rPr>
          <w:rFonts w:ascii="宋体"/>
          <w:b/>
          <w:bCs/>
          <w:sz w:val="28"/>
          <w:szCs w:val="28"/>
        </w:rPr>
      </w:pPr>
      <w:r>
        <w:rPr>
          <w:rFonts w:hint="eastAsia" w:ascii="宋体" w:hAnsi="宋体"/>
          <w:b/>
          <w:bCs/>
          <w:sz w:val="28"/>
          <w:szCs w:val="28"/>
        </w:rPr>
        <w:t>核心客户占比</w:t>
      </w:r>
    </w:p>
    <w:p>
      <w:pPr>
        <w:spacing w:line="360" w:lineRule="auto"/>
        <w:ind w:firstLine="560"/>
        <w:rPr>
          <w:rFonts w:ascii="宋体"/>
          <w:b/>
          <w:bCs/>
          <w:sz w:val="28"/>
          <w:szCs w:val="28"/>
        </w:rPr>
      </w:pPr>
      <w:r>
        <w:rPr>
          <w:rFonts w:hint="eastAsia" w:ascii="宋体" w:hAnsi="宋体"/>
          <w:sz w:val="28"/>
          <w:szCs w:val="28"/>
        </w:rPr>
        <w:t>从调查结果来看，在上海金融理财从业人员中，</w:t>
      </w:r>
      <w:r>
        <w:rPr>
          <w:rFonts w:ascii="宋体" w:hAnsi="宋体"/>
          <w:sz w:val="28"/>
          <w:szCs w:val="28"/>
        </w:rPr>
        <w:t>44.4%</w:t>
      </w:r>
      <w:r>
        <w:rPr>
          <w:rFonts w:hint="eastAsia" w:ascii="宋体" w:hAnsi="宋体"/>
          <w:sz w:val="28"/>
          <w:szCs w:val="28"/>
        </w:rPr>
        <w:t>的从业人员的客户中核心客户占比为</w:t>
      </w:r>
      <w:r>
        <w:rPr>
          <w:rFonts w:ascii="宋体" w:hAnsi="宋体"/>
          <w:sz w:val="28"/>
          <w:szCs w:val="28"/>
        </w:rPr>
        <w:t>10%-20%</w:t>
      </w:r>
      <w:r>
        <w:rPr>
          <w:rFonts w:hint="eastAsia" w:ascii="宋体" w:hAnsi="宋体"/>
          <w:sz w:val="28"/>
          <w:szCs w:val="28"/>
        </w:rPr>
        <w:t>，</w:t>
      </w:r>
      <w:r>
        <w:rPr>
          <w:rFonts w:ascii="宋体" w:hAnsi="宋体"/>
          <w:sz w:val="28"/>
          <w:szCs w:val="28"/>
        </w:rPr>
        <w:t>35.7%</w:t>
      </w:r>
      <w:r>
        <w:rPr>
          <w:rFonts w:hint="eastAsia" w:ascii="宋体" w:hAnsi="宋体"/>
          <w:sz w:val="28"/>
          <w:szCs w:val="28"/>
        </w:rPr>
        <w:t>的从业人员的客户中核心客户占比为</w:t>
      </w:r>
      <w:r>
        <w:rPr>
          <w:rFonts w:ascii="宋体" w:hAnsi="宋体"/>
          <w:sz w:val="28"/>
          <w:szCs w:val="28"/>
        </w:rPr>
        <w:t>10%</w:t>
      </w:r>
      <w:r>
        <w:rPr>
          <w:rFonts w:hint="eastAsia" w:ascii="宋体" w:hAnsi="宋体"/>
          <w:sz w:val="28"/>
          <w:szCs w:val="28"/>
        </w:rPr>
        <w:t>及以下，</w:t>
      </w:r>
      <w:r>
        <w:rPr>
          <w:rFonts w:ascii="宋体" w:hAnsi="宋体"/>
          <w:sz w:val="28"/>
          <w:szCs w:val="28"/>
        </w:rPr>
        <w:t>14.7%</w:t>
      </w:r>
      <w:r>
        <w:rPr>
          <w:rFonts w:hint="eastAsia" w:ascii="宋体" w:hAnsi="宋体"/>
          <w:sz w:val="28"/>
          <w:szCs w:val="28"/>
        </w:rPr>
        <w:t>的从业人员的客户中核心客户的占比为</w:t>
      </w:r>
      <w:r>
        <w:rPr>
          <w:rFonts w:ascii="宋体" w:hAnsi="宋体"/>
          <w:sz w:val="28"/>
          <w:szCs w:val="28"/>
        </w:rPr>
        <w:t>20%-50%</w:t>
      </w:r>
      <w:r>
        <w:rPr>
          <w:rFonts w:hint="eastAsia" w:ascii="宋体" w:hAnsi="宋体"/>
          <w:sz w:val="28"/>
          <w:szCs w:val="28"/>
        </w:rPr>
        <w:t>，</w:t>
      </w:r>
      <w:r>
        <w:rPr>
          <w:rFonts w:ascii="宋体" w:hAnsi="宋体"/>
          <w:sz w:val="28"/>
          <w:szCs w:val="28"/>
        </w:rPr>
        <w:t>5.3%</w:t>
      </w:r>
      <w:r>
        <w:rPr>
          <w:rFonts w:hint="eastAsia" w:ascii="宋体" w:hAnsi="宋体"/>
          <w:sz w:val="28"/>
          <w:szCs w:val="28"/>
        </w:rPr>
        <w:t>的从业人员的客户中核心客户的占比为</w:t>
      </w:r>
      <w:r>
        <w:rPr>
          <w:rFonts w:ascii="宋体" w:hAnsi="宋体"/>
          <w:sz w:val="28"/>
          <w:szCs w:val="28"/>
        </w:rPr>
        <w:t>50%</w:t>
      </w:r>
      <w:r>
        <w:rPr>
          <w:rFonts w:hint="eastAsia" w:ascii="宋体" w:hAnsi="宋体"/>
          <w:sz w:val="28"/>
          <w:szCs w:val="28"/>
        </w:rPr>
        <w:t>及以上，详见下图。</w:t>
      </w:r>
    </w:p>
    <w:p>
      <w:pPr>
        <w:spacing w:line="360" w:lineRule="auto"/>
        <w:rPr>
          <w:rFonts w:hAnsi="宋体"/>
          <w:b/>
          <w:bCs/>
        </w:rPr>
      </w:pPr>
      <w:r>
        <w:rPr>
          <w:rFonts w:hAnsi="宋体"/>
          <w:b/>
          <w:bCs/>
        </w:rPr>
        <w:t xml:space="preserve"> </w:t>
      </w:r>
    </w:p>
    <w:p>
      <w:pPr>
        <w:spacing w:line="360" w:lineRule="auto"/>
        <w:jc w:val="center"/>
        <w:rPr>
          <w:rFonts w:hAnsi="宋体"/>
        </w:rPr>
      </w:pPr>
      <w:r>
        <w:pict>
          <v:shape id="_x0000_i1041" o:spt="75" type="#_x0000_t75" style="height:216pt;width:360pt;" filled="f" o:preferrelative="t" stroked="f" coordsize="21600,21600">
            <v:path/>
            <v:fill on="f" focussize="0,0"/>
            <v:stroke on="f" joinstyle="miter"/>
            <v:imagedata r:id="rId22"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18 </w:t>
      </w:r>
      <w:r>
        <w:rPr>
          <w:rFonts w:hint="eastAsia" w:ascii="宋体" w:hAnsi="宋体"/>
          <w:b/>
          <w:bCs/>
          <w:sz w:val="21"/>
          <w:szCs w:val="21"/>
        </w:rPr>
        <w:t>上海金融理财从业人员核心客户占比比例图</w:t>
      </w:r>
    </w:p>
    <w:p>
      <w:pPr>
        <w:numPr>
          <w:ilvl w:val="0"/>
          <w:numId w:val="6"/>
        </w:numPr>
        <w:spacing w:line="360" w:lineRule="auto"/>
        <w:rPr>
          <w:rFonts w:ascii="宋体"/>
          <w:b/>
          <w:bCs/>
          <w:sz w:val="28"/>
          <w:szCs w:val="28"/>
        </w:rPr>
      </w:pPr>
      <w:r>
        <w:rPr>
          <w:rFonts w:hint="eastAsia" w:ascii="宋体" w:hAnsi="宋体"/>
          <w:b/>
          <w:bCs/>
          <w:sz w:val="28"/>
          <w:szCs w:val="28"/>
        </w:rPr>
        <w:t>维护客户存续资金规模分布</w:t>
      </w:r>
    </w:p>
    <w:p>
      <w:pPr>
        <w:spacing w:line="360" w:lineRule="auto"/>
        <w:ind w:firstLine="560"/>
        <w:rPr>
          <w:rFonts w:ascii="宋体"/>
          <w:b/>
          <w:bCs/>
          <w:sz w:val="28"/>
          <w:szCs w:val="28"/>
        </w:rPr>
      </w:pPr>
      <w:r>
        <w:rPr>
          <w:rFonts w:hint="eastAsia" w:ascii="宋体" w:hAnsi="宋体"/>
          <w:sz w:val="28"/>
          <w:szCs w:val="28"/>
        </w:rPr>
        <w:t>从调查结果来看，上海金融理财从业人员中维护客户存续资金规模在</w:t>
      </w:r>
      <w:r>
        <w:rPr>
          <w:rFonts w:ascii="宋体" w:hAnsi="宋体"/>
          <w:sz w:val="28"/>
          <w:szCs w:val="28"/>
        </w:rPr>
        <w:t>1000</w:t>
      </w:r>
      <w:r>
        <w:rPr>
          <w:rFonts w:hint="eastAsia" w:ascii="宋体" w:hAnsi="宋体"/>
          <w:sz w:val="28"/>
          <w:szCs w:val="28"/>
        </w:rPr>
        <w:t>万元以下的占</w:t>
      </w:r>
      <w:r>
        <w:rPr>
          <w:rFonts w:ascii="宋体" w:hAnsi="宋体"/>
          <w:sz w:val="28"/>
          <w:szCs w:val="28"/>
        </w:rPr>
        <w:t>36.6%</w:t>
      </w:r>
      <w:r>
        <w:rPr>
          <w:rFonts w:hint="eastAsia" w:ascii="宋体" w:hAnsi="宋体"/>
          <w:sz w:val="28"/>
          <w:szCs w:val="28"/>
        </w:rPr>
        <w:t>，</w:t>
      </w:r>
      <w:r>
        <w:rPr>
          <w:rFonts w:ascii="宋体" w:hAnsi="宋体"/>
          <w:sz w:val="28"/>
          <w:szCs w:val="28"/>
        </w:rPr>
        <w:t>1</w:t>
      </w:r>
      <w:r>
        <w:rPr>
          <w:rFonts w:hint="eastAsia" w:ascii="宋体" w:hAnsi="宋体"/>
          <w:sz w:val="28"/>
          <w:szCs w:val="28"/>
        </w:rPr>
        <w:t>亿</w:t>
      </w:r>
      <w:r>
        <w:rPr>
          <w:rFonts w:ascii="宋体" w:hAnsi="宋体"/>
          <w:sz w:val="28"/>
          <w:szCs w:val="28"/>
        </w:rPr>
        <w:t>-5</w:t>
      </w:r>
      <w:r>
        <w:rPr>
          <w:rFonts w:hint="eastAsia" w:ascii="宋体" w:hAnsi="宋体"/>
          <w:sz w:val="28"/>
          <w:szCs w:val="28"/>
        </w:rPr>
        <w:t>亿的占</w:t>
      </w:r>
      <w:r>
        <w:rPr>
          <w:rFonts w:ascii="宋体" w:hAnsi="宋体"/>
          <w:sz w:val="28"/>
          <w:szCs w:val="28"/>
        </w:rPr>
        <w:t>22.5%</w:t>
      </w:r>
      <w:r>
        <w:rPr>
          <w:rFonts w:hint="eastAsia" w:ascii="宋体" w:hAnsi="宋体"/>
          <w:sz w:val="28"/>
          <w:szCs w:val="28"/>
        </w:rPr>
        <w:t>，</w:t>
      </w:r>
      <w:r>
        <w:rPr>
          <w:rFonts w:ascii="宋体" w:hAnsi="宋体"/>
          <w:sz w:val="28"/>
          <w:szCs w:val="28"/>
        </w:rPr>
        <w:t>2000-5000</w:t>
      </w:r>
      <w:r>
        <w:rPr>
          <w:rFonts w:hint="eastAsia" w:ascii="宋体" w:hAnsi="宋体"/>
          <w:sz w:val="28"/>
          <w:szCs w:val="28"/>
        </w:rPr>
        <w:t>万的占</w:t>
      </w:r>
      <w:r>
        <w:rPr>
          <w:rFonts w:ascii="宋体" w:hAnsi="宋体"/>
          <w:sz w:val="28"/>
          <w:szCs w:val="28"/>
        </w:rPr>
        <w:t>19.0%</w:t>
      </w:r>
      <w:r>
        <w:rPr>
          <w:rFonts w:hint="eastAsia" w:ascii="宋体" w:hAnsi="宋体"/>
          <w:sz w:val="28"/>
          <w:szCs w:val="28"/>
        </w:rPr>
        <w:t>，其余详见下图。</w:t>
      </w:r>
    </w:p>
    <w:p>
      <w:pPr>
        <w:spacing w:line="360" w:lineRule="auto"/>
        <w:jc w:val="center"/>
        <w:rPr>
          <w:rFonts w:hAnsi="宋体"/>
        </w:rPr>
      </w:pPr>
      <w:r>
        <w:pict>
          <v:shape id="_x0000_i1042" o:spt="75" type="#_x0000_t75" style="height:216pt;width:360pt;" filled="f" o:preferrelative="t" stroked="f" coordsize="21600,21600">
            <v:path/>
            <v:fill on="f" focussize="0,0"/>
            <v:stroke on="f" joinstyle="miter"/>
            <v:imagedata r:id="rId23" o:title=""/>
            <o:lock v:ext="edit" aspectratio="t"/>
            <w10:wrap type="none"/>
            <w10:anchorlock/>
          </v:shape>
        </w:pict>
      </w:r>
      <w:r>
        <w:rPr>
          <w:rFonts w:hAnsi="宋体"/>
        </w:rPr>
        <w:t xml:space="preserve"> </w:t>
      </w:r>
    </w:p>
    <w:p>
      <w:pPr>
        <w:spacing w:line="360" w:lineRule="auto"/>
        <w:jc w:val="center"/>
        <w:rPr>
          <w:rFonts w:hAnsi="宋体"/>
          <w:sz w:val="21"/>
          <w:szCs w:val="21"/>
        </w:rPr>
      </w:pPr>
      <w:r>
        <w:rPr>
          <w:rFonts w:hint="eastAsia" w:ascii="宋体" w:hAnsi="宋体"/>
          <w:b/>
          <w:bCs/>
          <w:sz w:val="21"/>
          <w:szCs w:val="21"/>
        </w:rPr>
        <w:t>图</w:t>
      </w:r>
      <w:r>
        <w:rPr>
          <w:rFonts w:hAnsi="宋体"/>
          <w:b/>
          <w:bCs/>
          <w:sz w:val="21"/>
          <w:szCs w:val="21"/>
        </w:rPr>
        <w:t xml:space="preserve">19 </w:t>
      </w:r>
      <w:r>
        <w:rPr>
          <w:rFonts w:hint="eastAsia" w:ascii="宋体" w:hAnsi="宋体"/>
          <w:b/>
          <w:bCs/>
          <w:sz w:val="21"/>
          <w:szCs w:val="21"/>
        </w:rPr>
        <w:t>上海金融理财从业人员维护客户存续资金规模分布比例图</w:t>
      </w:r>
    </w:p>
    <w:p>
      <w:pPr>
        <w:numPr>
          <w:ilvl w:val="0"/>
          <w:numId w:val="6"/>
        </w:numPr>
        <w:spacing w:line="360" w:lineRule="auto"/>
        <w:rPr>
          <w:rFonts w:ascii="宋体"/>
          <w:b/>
          <w:bCs/>
          <w:sz w:val="28"/>
          <w:szCs w:val="28"/>
        </w:rPr>
      </w:pPr>
      <w:r>
        <w:rPr>
          <w:rFonts w:hint="eastAsia" w:ascii="宋体" w:hAnsi="宋体"/>
          <w:b/>
          <w:bCs/>
          <w:sz w:val="28"/>
          <w:szCs w:val="28"/>
        </w:rPr>
        <w:t>客户平均可投资金额分布</w:t>
      </w:r>
    </w:p>
    <w:p>
      <w:pPr>
        <w:spacing w:line="360" w:lineRule="auto"/>
        <w:ind w:firstLine="560"/>
        <w:rPr>
          <w:rFonts w:hAnsi="宋体"/>
          <w:b/>
          <w:bCs/>
        </w:rPr>
      </w:pPr>
      <w:r>
        <w:rPr>
          <w:rFonts w:hint="eastAsia" w:ascii="宋体" w:hAnsi="宋体"/>
          <w:sz w:val="28"/>
          <w:szCs w:val="28"/>
        </w:rPr>
        <w:t>从调查结果来看，上海金融理财从业人员客户平均可投资金额在</w:t>
      </w:r>
      <w:r>
        <w:rPr>
          <w:rFonts w:ascii="宋体" w:hAnsi="宋体"/>
          <w:sz w:val="28"/>
          <w:szCs w:val="28"/>
        </w:rPr>
        <w:t>20-50</w:t>
      </w:r>
      <w:r>
        <w:rPr>
          <w:rFonts w:hint="eastAsia" w:ascii="宋体" w:hAnsi="宋体"/>
          <w:sz w:val="28"/>
          <w:szCs w:val="28"/>
        </w:rPr>
        <w:t>万和</w:t>
      </w:r>
      <w:r>
        <w:rPr>
          <w:rFonts w:ascii="宋体" w:hAnsi="宋体"/>
          <w:sz w:val="28"/>
          <w:szCs w:val="28"/>
        </w:rPr>
        <w:t>50-100</w:t>
      </w:r>
      <w:r>
        <w:rPr>
          <w:rFonts w:hint="eastAsia" w:ascii="宋体" w:hAnsi="宋体"/>
          <w:sz w:val="28"/>
          <w:szCs w:val="28"/>
        </w:rPr>
        <w:t>万的占比最多，分别为</w:t>
      </w:r>
      <w:r>
        <w:rPr>
          <w:rFonts w:ascii="宋体" w:hAnsi="宋体"/>
          <w:sz w:val="28"/>
          <w:szCs w:val="28"/>
        </w:rPr>
        <w:t>31.3%</w:t>
      </w:r>
      <w:r>
        <w:rPr>
          <w:rFonts w:hint="eastAsia" w:ascii="宋体" w:hAnsi="宋体"/>
          <w:sz w:val="28"/>
          <w:szCs w:val="28"/>
        </w:rPr>
        <w:t>和</w:t>
      </w:r>
      <w:r>
        <w:rPr>
          <w:rFonts w:ascii="宋体" w:hAnsi="宋体"/>
          <w:sz w:val="28"/>
          <w:szCs w:val="28"/>
        </w:rPr>
        <w:t>27.6%</w:t>
      </w:r>
      <w:r>
        <w:rPr>
          <w:rFonts w:hint="eastAsia" w:ascii="宋体" w:hAnsi="宋体"/>
          <w:sz w:val="28"/>
          <w:szCs w:val="28"/>
        </w:rPr>
        <w:t>，占比最少的为</w:t>
      </w:r>
      <w:r>
        <w:rPr>
          <w:rFonts w:ascii="宋体" w:hAnsi="宋体"/>
          <w:sz w:val="28"/>
          <w:szCs w:val="28"/>
        </w:rPr>
        <w:t>1000</w:t>
      </w:r>
      <w:r>
        <w:rPr>
          <w:rFonts w:hint="eastAsia" w:ascii="宋体" w:hAnsi="宋体"/>
          <w:sz w:val="28"/>
          <w:szCs w:val="28"/>
        </w:rPr>
        <w:t>万元以上的，比例为</w:t>
      </w:r>
      <w:r>
        <w:rPr>
          <w:rFonts w:ascii="宋体" w:hAnsi="宋体"/>
          <w:sz w:val="28"/>
          <w:szCs w:val="28"/>
        </w:rPr>
        <w:t>3.2%</w:t>
      </w:r>
      <w:r>
        <w:rPr>
          <w:rFonts w:hint="eastAsia" w:ascii="宋体" w:hAnsi="宋体"/>
          <w:sz w:val="28"/>
          <w:szCs w:val="28"/>
        </w:rPr>
        <w:t>，其余详见下图。</w:t>
      </w:r>
    </w:p>
    <w:p>
      <w:pPr>
        <w:spacing w:line="360" w:lineRule="auto"/>
        <w:rPr>
          <w:rFonts w:hAnsi="宋体"/>
          <w:b/>
          <w:bCs/>
        </w:rPr>
      </w:pPr>
      <w:r>
        <w:rPr>
          <w:rFonts w:hAnsi="宋体"/>
          <w:b/>
          <w:bCs/>
        </w:rPr>
        <w:t xml:space="preserve"> </w:t>
      </w:r>
    </w:p>
    <w:p>
      <w:pPr>
        <w:spacing w:line="360" w:lineRule="auto"/>
        <w:jc w:val="center"/>
        <w:rPr>
          <w:rFonts w:hAnsi="宋体"/>
        </w:rPr>
      </w:pPr>
      <w:r>
        <w:pict>
          <v:shape id="_x0000_i1043" o:spt="75" type="#_x0000_t75" style="height:216pt;width:360pt;" filled="f" o:preferrelative="t" stroked="f" coordsize="21600,21600">
            <v:path/>
            <v:fill on="f" focussize="0,0"/>
            <v:stroke on="f" joinstyle="miter"/>
            <v:imagedata r:id="rId24"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20 </w:t>
      </w:r>
      <w:r>
        <w:rPr>
          <w:rFonts w:hint="eastAsia" w:ascii="宋体" w:hAnsi="宋体"/>
          <w:b/>
          <w:bCs/>
          <w:sz w:val="21"/>
          <w:szCs w:val="21"/>
        </w:rPr>
        <w:t>上海金融理财从业人员客户平均可投资金额分布比例图</w:t>
      </w:r>
    </w:p>
    <w:p>
      <w:pPr>
        <w:numPr>
          <w:ilvl w:val="0"/>
          <w:numId w:val="6"/>
        </w:numPr>
        <w:spacing w:line="360" w:lineRule="auto"/>
        <w:rPr>
          <w:rFonts w:ascii="宋体"/>
          <w:b/>
          <w:bCs/>
          <w:sz w:val="28"/>
          <w:szCs w:val="28"/>
        </w:rPr>
      </w:pPr>
      <w:r>
        <w:rPr>
          <w:rFonts w:hint="eastAsia" w:ascii="宋体" w:hAnsi="宋体"/>
          <w:b/>
          <w:bCs/>
          <w:sz w:val="28"/>
          <w:szCs w:val="28"/>
        </w:rPr>
        <w:t>服务已超过</w:t>
      </w:r>
      <w:r>
        <w:rPr>
          <w:rFonts w:ascii="宋体" w:hAnsi="宋体"/>
          <w:b/>
          <w:bCs/>
          <w:sz w:val="28"/>
          <w:szCs w:val="28"/>
        </w:rPr>
        <w:t>3</w:t>
      </w:r>
      <w:r>
        <w:rPr>
          <w:rFonts w:hint="eastAsia" w:ascii="宋体" w:hAnsi="宋体"/>
          <w:b/>
          <w:bCs/>
          <w:sz w:val="28"/>
          <w:szCs w:val="28"/>
        </w:rPr>
        <w:t>年以上的客户比例</w:t>
      </w:r>
    </w:p>
    <w:p>
      <w:pPr>
        <w:spacing w:line="360" w:lineRule="auto"/>
        <w:ind w:firstLine="560"/>
        <w:rPr>
          <w:rFonts w:ascii="宋体"/>
          <w:b/>
          <w:bCs/>
          <w:sz w:val="28"/>
          <w:szCs w:val="28"/>
        </w:rPr>
      </w:pPr>
      <w:r>
        <w:rPr>
          <w:rFonts w:hint="eastAsia" w:ascii="宋体" w:hAnsi="宋体"/>
          <w:sz w:val="28"/>
          <w:szCs w:val="28"/>
        </w:rPr>
        <w:t>从调查结果来看，上海金融理财从业人员服务已超过</w:t>
      </w:r>
      <w:r>
        <w:rPr>
          <w:rFonts w:ascii="宋体" w:hAnsi="宋体"/>
          <w:sz w:val="28"/>
          <w:szCs w:val="28"/>
        </w:rPr>
        <w:t>3</w:t>
      </w:r>
      <w:r>
        <w:rPr>
          <w:rFonts w:hint="eastAsia" w:ascii="宋体" w:hAnsi="宋体"/>
          <w:sz w:val="28"/>
          <w:szCs w:val="28"/>
        </w:rPr>
        <w:t>年以上的客户比例在</w:t>
      </w:r>
      <w:r>
        <w:rPr>
          <w:rFonts w:ascii="宋体" w:hAnsi="宋体"/>
          <w:sz w:val="28"/>
          <w:szCs w:val="28"/>
        </w:rPr>
        <w:t>10%-30%</w:t>
      </w:r>
      <w:r>
        <w:rPr>
          <w:rFonts w:hint="eastAsia" w:ascii="宋体" w:hAnsi="宋体"/>
          <w:sz w:val="28"/>
          <w:szCs w:val="28"/>
        </w:rPr>
        <w:t>、</w:t>
      </w:r>
      <w:r>
        <w:rPr>
          <w:rFonts w:ascii="宋体" w:hAnsi="宋体"/>
          <w:sz w:val="28"/>
          <w:szCs w:val="28"/>
        </w:rPr>
        <w:t>10%</w:t>
      </w:r>
      <w:r>
        <w:rPr>
          <w:rFonts w:hint="eastAsia" w:ascii="宋体" w:hAnsi="宋体"/>
          <w:sz w:val="28"/>
          <w:szCs w:val="28"/>
        </w:rPr>
        <w:t>以下和</w:t>
      </w:r>
      <w:r>
        <w:rPr>
          <w:rFonts w:ascii="宋体" w:hAnsi="宋体"/>
          <w:sz w:val="28"/>
          <w:szCs w:val="28"/>
        </w:rPr>
        <w:t>50%</w:t>
      </w:r>
      <w:r>
        <w:rPr>
          <w:rFonts w:hint="eastAsia" w:ascii="宋体" w:hAnsi="宋体"/>
          <w:sz w:val="28"/>
          <w:szCs w:val="28"/>
        </w:rPr>
        <w:t>以上的分别为</w:t>
      </w:r>
      <w:r>
        <w:rPr>
          <w:rFonts w:ascii="宋体" w:hAnsi="宋体"/>
          <w:sz w:val="28"/>
          <w:szCs w:val="28"/>
        </w:rPr>
        <w:t>21.4%</w:t>
      </w:r>
      <w:r>
        <w:rPr>
          <w:rFonts w:hint="eastAsia" w:ascii="宋体" w:hAnsi="宋体"/>
          <w:sz w:val="28"/>
          <w:szCs w:val="28"/>
        </w:rPr>
        <w:t>、</w:t>
      </w:r>
      <w:r>
        <w:rPr>
          <w:rFonts w:ascii="宋体" w:hAnsi="宋体"/>
          <w:sz w:val="28"/>
          <w:szCs w:val="28"/>
        </w:rPr>
        <w:t>19.5%</w:t>
      </w:r>
      <w:r>
        <w:rPr>
          <w:rFonts w:hint="eastAsia" w:ascii="宋体" w:hAnsi="宋体"/>
          <w:sz w:val="28"/>
          <w:szCs w:val="28"/>
        </w:rPr>
        <w:t>和</w:t>
      </w:r>
      <w:r>
        <w:rPr>
          <w:rFonts w:ascii="宋体" w:hAnsi="宋体"/>
          <w:sz w:val="28"/>
          <w:szCs w:val="28"/>
        </w:rPr>
        <w:t>16.3%</w:t>
      </w:r>
      <w:r>
        <w:rPr>
          <w:rFonts w:hint="eastAsia" w:ascii="宋体" w:hAnsi="宋体"/>
          <w:sz w:val="28"/>
          <w:szCs w:val="28"/>
        </w:rPr>
        <w:t>，其中有</w:t>
      </w:r>
      <w:r>
        <w:rPr>
          <w:rFonts w:ascii="宋体" w:hAnsi="宋体"/>
          <w:sz w:val="28"/>
          <w:szCs w:val="28"/>
        </w:rPr>
        <w:t>29.2%</w:t>
      </w:r>
      <w:r>
        <w:rPr>
          <w:rFonts w:hint="eastAsia" w:ascii="宋体" w:hAnsi="宋体"/>
          <w:sz w:val="28"/>
          <w:szCs w:val="28"/>
        </w:rPr>
        <w:t>的从业人员工作尚未满</w:t>
      </w:r>
      <w:r>
        <w:rPr>
          <w:rFonts w:ascii="宋体" w:hAnsi="宋体"/>
          <w:sz w:val="28"/>
          <w:szCs w:val="28"/>
        </w:rPr>
        <w:t>3</w:t>
      </w:r>
      <w:r>
        <w:rPr>
          <w:rFonts w:hint="eastAsia" w:ascii="宋体" w:hAnsi="宋体"/>
          <w:sz w:val="28"/>
          <w:szCs w:val="28"/>
        </w:rPr>
        <w:t>年，其余详见下图。</w:t>
      </w:r>
    </w:p>
    <w:p>
      <w:pPr>
        <w:spacing w:line="360" w:lineRule="auto"/>
        <w:jc w:val="center"/>
        <w:rPr>
          <w:rFonts w:hAnsi="宋体"/>
        </w:rPr>
      </w:pPr>
      <w:r>
        <w:pict>
          <v:shape id="_x0000_i1044" o:spt="75" type="#_x0000_t75" style="height:216pt;width:360pt;" filled="f" o:preferrelative="t" stroked="f" coordsize="21600,21600">
            <v:path/>
            <v:fill on="f" focussize="0,0"/>
            <v:stroke on="f" joinstyle="miter"/>
            <v:imagedata r:id="rId25" o:title=""/>
            <o:lock v:ext="edit" aspectratio="t"/>
            <w10:wrap type="none"/>
            <w10:anchorlock/>
          </v:shape>
        </w:pict>
      </w: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21 </w:t>
      </w:r>
      <w:r>
        <w:rPr>
          <w:rFonts w:hint="eastAsia" w:ascii="宋体" w:hAnsi="宋体"/>
          <w:b/>
          <w:bCs/>
          <w:sz w:val="21"/>
          <w:szCs w:val="21"/>
        </w:rPr>
        <w:t>上海金融理财从业人员服务已超过</w:t>
      </w:r>
      <w:r>
        <w:rPr>
          <w:rFonts w:hAnsi="宋体"/>
          <w:b/>
          <w:bCs/>
          <w:sz w:val="21"/>
          <w:szCs w:val="21"/>
        </w:rPr>
        <w:t>3</w:t>
      </w:r>
      <w:r>
        <w:rPr>
          <w:rFonts w:hint="eastAsia" w:ascii="宋体" w:hAnsi="宋体"/>
          <w:b/>
          <w:bCs/>
          <w:sz w:val="21"/>
          <w:szCs w:val="21"/>
        </w:rPr>
        <w:t>年以上的客户比例图</w:t>
      </w:r>
    </w:p>
    <w:p>
      <w:pPr>
        <w:numPr>
          <w:ilvl w:val="0"/>
          <w:numId w:val="6"/>
        </w:numPr>
        <w:spacing w:line="360" w:lineRule="auto"/>
        <w:rPr>
          <w:rFonts w:ascii="宋体"/>
          <w:b/>
          <w:bCs/>
          <w:sz w:val="28"/>
          <w:szCs w:val="28"/>
        </w:rPr>
      </w:pPr>
      <w:r>
        <w:rPr>
          <w:rFonts w:hint="eastAsia" w:ascii="宋体" w:hAnsi="宋体"/>
          <w:b/>
          <w:bCs/>
          <w:sz w:val="28"/>
          <w:szCs w:val="28"/>
        </w:rPr>
        <w:t>具备较强理财意识的客户比例</w:t>
      </w:r>
    </w:p>
    <w:p>
      <w:pPr>
        <w:spacing w:line="360" w:lineRule="auto"/>
        <w:ind w:firstLine="560"/>
        <w:rPr>
          <w:rFonts w:ascii="宋体"/>
          <w:b/>
          <w:bCs/>
          <w:sz w:val="28"/>
          <w:szCs w:val="28"/>
        </w:rPr>
      </w:pPr>
      <w:r>
        <w:rPr>
          <w:rFonts w:hint="eastAsia" w:ascii="宋体" w:hAnsi="宋体"/>
          <w:sz w:val="28"/>
          <w:szCs w:val="28"/>
        </w:rPr>
        <w:t>从调查结果来看，在上海金融理财从业人员中有，</w:t>
      </w:r>
      <w:r>
        <w:rPr>
          <w:rFonts w:ascii="宋体" w:hAnsi="宋体"/>
          <w:sz w:val="28"/>
          <w:szCs w:val="28"/>
        </w:rPr>
        <w:t>41.0%</w:t>
      </w:r>
      <w:r>
        <w:rPr>
          <w:rFonts w:hint="eastAsia" w:ascii="宋体" w:hAnsi="宋体"/>
          <w:sz w:val="28"/>
          <w:szCs w:val="28"/>
        </w:rPr>
        <w:t>认为自己的客户中有</w:t>
      </w:r>
      <w:r>
        <w:rPr>
          <w:rFonts w:ascii="宋体" w:hAnsi="宋体"/>
          <w:sz w:val="28"/>
          <w:szCs w:val="28"/>
        </w:rPr>
        <w:t>10-30%</w:t>
      </w:r>
      <w:r>
        <w:rPr>
          <w:rFonts w:hint="eastAsia" w:ascii="宋体" w:hAnsi="宋体"/>
          <w:sz w:val="28"/>
          <w:szCs w:val="28"/>
        </w:rPr>
        <w:t>具备较强的理财意识，</w:t>
      </w:r>
      <w:r>
        <w:rPr>
          <w:rFonts w:ascii="宋体" w:hAnsi="宋体"/>
          <w:sz w:val="28"/>
          <w:szCs w:val="28"/>
        </w:rPr>
        <w:t>33.1%</w:t>
      </w:r>
      <w:r>
        <w:rPr>
          <w:rFonts w:hint="eastAsia" w:ascii="宋体" w:hAnsi="宋体"/>
          <w:sz w:val="28"/>
          <w:szCs w:val="28"/>
        </w:rPr>
        <w:t>认为自己的客户中只有</w:t>
      </w:r>
      <w:r>
        <w:rPr>
          <w:rFonts w:ascii="宋体" w:hAnsi="宋体"/>
          <w:sz w:val="28"/>
          <w:szCs w:val="28"/>
        </w:rPr>
        <w:t>10%</w:t>
      </w:r>
      <w:r>
        <w:rPr>
          <w:rFonts w:hint="eastAsia" w:ascii="宋体" w:hAnsi="宋体"/>
          <w:sz w:val="28"/>
          <w:szCs w:val="28"/>
        </w:rPr>
        <w:t>以下具备较强的理财意识，其余详见下图。</w:t>
      </w:r>
    </w:p>
    <w:p>
      <w:pPr>
        <w:spacing w:line="360" w:lineRule="auto"/>
        <w:jc w:val="center"/>
        <w:rPr>
          <w:rFonts w:hAnsi="宋体"/>
        </w:rPr>
      </w:pPr>
      <w:r>
        <w:pict>
          <v:shape id="_x0000_i1045" o:spt="75" type="#_x0000_t75" style="height:216pt;width:360pt;" filled="f" o:preferrelative="t" stroked="f" coordsize="21600,21600">
            <v:path/>
            <v:fill on="f" focussize="0,0"/>
            <v:stroke on="f" joinstyle="miter"/>
            <v:imagedata r:id="rId26"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22</w:t>
      </w:r>
      <w:r>
        <w:rPr>
          <w:rFonts w:hint="eastAsia" w:ascii="宋体" w:hAnsi="宋体"/>
          <w:b/>
          <w:bCs/>
          <w:sz w:val="21"/>
          <w:szCs w:val="21"/>
        </w:rPr>
        <w:t>上海金融理财从业人员服务具备较强理财意识的客户比例图</w:t>
      </w:r>
    </w:p>
    <w:p>
      <w:pPr>
        <w:spacing w:line="360" w:lineRule="auto"/>
        <w:jc w:val="center"/>
        <w:rPr>
          <w:rFonts w:hAnsi="宋体"/>
          <w:b/>
          <w:bCs/>
          <w:sz w:val="21"/>
          <w:szCs w:val="21"/>
        </w:rPr>
      </w:pPr>
      <w:r>
        <w:rPr>
          <w:rFonts w:hAnsi="宋体"/>
          <w:b/>
          <w:bCs/>
          <w:sz w:val="21"/>
          <w:szCs w:val="21"/>
        </w:rPr>
        <w:t xml:space="preserve"> </w:t>
      </w:r>
    </w:p>
    <w:p>
      <w:pPr>
        <w:numPr>
          <w:ilvl w:val="0"/>
          <w:numId w:val="6"/>
        </w:numPr>
        <w:spacing w:line="360" w:lineRule="auto"/>
        <w:rPr>
          <w:rFonts w:ascii="宋体"/>
          <w:b/>
          <w:bCs/>
          <w:sz w:val="28"/>
          <w:szCs w:val="28"/>
        </w:rPr>
      </w:pPr>
      <w:r>
        <w:rPr>
          <w:rFonts w:hint="eastAsia" w:ascii="宋体" w:hAnsi="宋体"/>
          <w:b/>
          <w:bCs/>
          <w:sz w:val="28"/>
          <w:szCs w:val="28"/>
        </w:rPr>
        <w:t>组织理财相关的客户活动次数</w:t>
      </w:r>
    </w:p>
    <w:p>
      <w:pPr>
        <w:spacing w:line="360" w:lineRule="auto"/>
        <w:ind w:firstLine="560"/>
        <w:rPr>
          <w:rFonts w:ascii="宋体"/>
          <w:b/>
          <w:bCs/>
          <w:sz w:val="28"/>
          <w:szCs w:val="28"/>
        </w:rPr>
      </w:pPr>
      <w:r>
        <w:rPr>
          <w:rFonts w:hint="eastAsia" w:ascii="宋体" w:hAnsi="宋体"/>
          <w:sz w:val="28"/>
          <w:szCs w:val="28"/>
        </w:rPr>
        <w:t>从调查结果来看，在上海金融理财从业人员中，只有</w:t>
      </w:r>
      <w:r>
        <w:rPr>
          <w:rFonts w:ascii="宋体" w:hAnsi="宋体"/>
          <w:sz w:val="28"/>
          <w:szCs w:val="28"/>
        </w:rPr>
        <w:t>10.1%</w:t>
      </w:r>
      <w:r>
        <w:rPr>
          <w:rFonts w:hint="eastAsia" w:ascii="宋体" w:hAnsi="宋体"/>
          <w:sz w:val="28"/>
          <w:szCs w:val="28"/>
        </w:rPr>
        <w:t>每年会组织</w:t>
      </w:r>
      <w:r>
        <w:rPr>
          <w:rFonts w:ascii="宋体" w:hAnsi="宋体"/>
          <w:sz w:val="28"/>
          <w:szCs w:val="28"/>
        </w:rPr>
        <w:t>10</w:t>
      </w:r>
      <w:r>
        <w:rPr>
          <w:rFonts w:hint="eastAsia" w:ascii="宋体" w:hAnsi="宋体"/>
          <w:sz w:val="28"/>
          <w:szCs w:val="28"/>
        </w:rPr>
        <w:t>次以上的理财相关的客户活动，</w:t>
      </w:r>
      <w:r>
        <w:rPr>
          <w:rFonts w:ascii="宋体" w:hAnsi="宋体"/>
          <w:sz w:val="28"/>
          <w:szCs w:val="28"/>
        </w:rPr>
        <w:t>60.1%</w:t>
      </w:r>
      <w:r>
        <w:rPr>
          <w:rFonts w:hint="eastAsia" w:ascii="宋体" w:hAnsi="宋体"/>
          <w:sz w:val="28"/>
          <w:szCs w:val="28"/>
        </w:rPr>
        <w:t>从业人员每年组织理财相关的客户活动少于</w:t>
      </w:r>
      <w:r>
        <w:rPr>
          <w:rFonts w:ascii="宋体" w:hAnsi="宋体"/>
          <w:sz w:val="28"/>
          <w:szCs w:val="28"/>
        </w:rPr>
        <w:t>5</w:t>
      </w:r>
      <w:r>
        <w:rPr>
          <w:rFonts w:hint="eastAsia" w:ascii="宋体" w:hAnsi="宋体"/>
          <w:sz w:val="28"/>
          <w:szCs w:val="28"/>
        </w:rPr>
        <w:t>次，其余详见下图。</w:t>
      </w:r>
    </w:p>
    <w:p>
      <w:pPr>
        <w:spacing w:line="360" w:lineRule="auto"/>
        <w:rPr>
          <w:rFonts w:ascii="宋体"/>
          <w:b/>
          <w:bCs/>
          <w:sz w:val="28"/>
          <w:szCs w:val="28"/>
        </w:rPr>
      </w:pPr>
      <w:r>
        <w:pict>
          <v:shape id="_x0000_i1046" o:spt="75" type="#_x0000_t75" style="height:216pt;width:360pt;" filled="f" o:preferrelative="t" stroked="f" coordsize="21600,21600">
            <v:path/>
            <v:fill on="f" focussize="0,0"/>
            <v:stroke on="f" joinstyle="miter"/>
            <v:imagedata r:id="rId27" o:title=""/>
            <o:lock v:ext="edit" aspectratio="t"/>
            <w10:wrap type="none"/>
            <w10:anchorlock/>
          </v:shape>
        </w:pict>
      </w:r>
      <w:r>
        <w:rPr>
          <w:rFonts w:ascii="宋体" w:hAnsi="宋体"/>
          <w:b/>
          <w:bCs/>
          <w:sz w:val="28"/>
          <w:szCs w:val="28"/>
        </w:rPr>
        <w:t xml:space="preserve"> </w:t>
      </w:r>
    </w:p>
    <w:p>
      <w:pPr>
        <w:spacing w:line="360" w:lineRule="auto"/>
        <w:jc w:val="center"/>
        <w:rPr>
          <w:rFonts w:hAnsi="宋体"/>
        </w:rPr>
      </w:pPr>
      <w:r>
        <w:rPr>
          <w:rFonts w:hAnsi="宋体"/>
        </w:rPr>
        <w:t xml:space="preserve"> </w:t>
      </w:r>
    </w:p>
    <w:p>
      <w:pPr>
        <w:spacing w:line="360" w:lineRule="auto"/>
        <w:jc w:val="center"/>
        <w:rPr>
          <w:rFonts w:hAnsi="宋体"/>
        </w:rPr>
      </w:pPr>
      <w:r>
        <w:rPr>
          <w:rFonts w:hint="eastAsia" w:ascii="宋体" w:hAnsi="宋体"/>
          <w:b/>
          <w:bCs/>
          <w:sz w:val="21"/>
          <w:szCs w:val="21"/>
        </w:rPr>
        <w:t>图</w:t>
      </w:r>
      <w:r>
        <w:rPr>
          <w:rFonts w:hAnsi="宋体"/>
          <w:b/>
          <w:bCs/>
          <w:sz w:val="21"/>
          <w:szCs w:val="21"/>
        </w:rPr>
        <w:t xml:space="preserve">23 </w:t>
      </w:r>
      <w:r>
        <w:rPr>
          <w:rFonts w:hint="eastAsia" w:ascii="宋体" w:hAnsi="宋体"/>
          <w:b/>
          <w:bCs/>
          <w:sz w:val="21"/>
          <w:szCs w:val="21"/>
        </w:rPr>
        <w:t>上海金融理财从业人员组织理财相关的客户活动次数比例图</w:t>
      </w:r>
    </w:p>
    <w:p>
      <w:pPr>
        <w:spacing w:line="360" w:lineRule="auto"/>
        <w:rPr>
          <w:rFonts w:ascii="宋体"/>
          <w:b/>
          <w:bCs/>
          <w:sz w:val="28"/>
          <w:szCs w:val="28"/>
        </w:rPr>
      </w:pPr>
      <w:r>
        <w:rPr>
          <w:rFonts w:hAnsi="宋体"/>
          <w:b/>
          <w:bCs/>
          <w:sz w:val="28"/>
          <w:szCs w:val="28"/>
        </w:rPr>
        <w:t>8</w:t>
      </w:r>
      <w:r>
        <w:rPr>
          <w:rFonts w:hint="eastAsia" w:ascii="宋体" w:hAnsi="宋体"/>
          <w:b/>
          <w:bCs/>
          <w:sz w:val="28"/>
          <w:szCs w:val="28"/>
        </w:rPr>
        <w:t>、向客户推荐金融产品主要考虑的因素是？</w:t>
      </w:r>
      <w:r>
        <w:rPr>
          <w:rFonts w:ascii="宋体" w:hAnsi="宋体"/>
          <w:b/>
          <w:bCs/>
          <w:sz w:val="28"/>
          <w:szCs w:val="28"/>
        </w:rPr>
        <w:t xml:space="preserve"> </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金融理财从业人员认为，向客户推荐金融产品主要考虑因素有客户直接要求、理财师认为客户需要配置以及所在机构的营销考核要求。</w:t>
      </w:r>
    </w:p>
    <w:p>
      <w:pPr>
        <w:spacing w:line="360" w:lineRule="auto"/>
        <w:jc w:val="center"/>
        <w:rPr>
          <w:rFonts w:hAnsi="宋体"/>
        </w:rPr>
      </w:pPr>
      <w:r>
        <w:pict>
          <v:shape id="_x0000_i1047" o:spt="75" type="#_x0000_t75" style="height:187.5pt;width:319.5pt;" filled="f" o:preferrelative="t" stroked="f" coordsize="21600,21600">
            <v:path/>
            <v:fill on="f" focussize="0,0"/>
            <v:stroke on="f" joinstyle="miter"/>
            <v:imagedata r:id="rId28" o:title=""/>
            <o:lock v:ext="edit" aspectratio="t"/>
            <w10:wrap type="none"/>
            <w10:anchorlock/>
          </v:shape>
        </w:pict>
      </w:r>
      <w:r>
        <w:rPr>
          <w:rFonts w:hAnsi="宋体"/>
        </w:rPr>
        <w:t xml:space="preserve"> </w:t>
      </w:r>
    </w:p>
    <w:p>
      <w:pPr>
        <w:spacing w:line="360" w:lineRule="auto"/>
        <w:jc w:val="center"/>
        <w:rPr>
          <w:rFonts w:hAnsi="宋体"/>
          <w:b/>
          <w:bCs/>
        </w:rPr>
      </w:pPr>
      <w:r>
        <w:rPr>
          <w:rFonts w:hint="eastAsia" w:ascii="宋体" w:hAnsi="宋体"/>
          <w:b/>
          <w:bCs/>
          <w:sz w:val="21"/>
          <w:szCs w:val="21"/>
        </w:rPr>
        <w:t>图</w:t>
      </w:r>
      <w:r>
        <w:rPr>
          <w:rFonts w:hAnsi="宋体"/>
          <w:b/>
          <w:bCs/>
          <w:sz w:val="21"/>
          <w:szCs w:val="21"/>
        </w:rPr>
        <w:t xml:space="preserve">24 </w:t>
      </w:r>
      <w:r>
        <w:rPr>
          <w:rFonts w:hint="eastAsia" w:ascii="宋体" w:hAnsi="宋体"/>
          <w:b/>
          <w:bCs/>
        </w:rPr>
        <w:t>向客户推荐金融产品主要考虑的因素</w:t>
      </w:r>
    </w:p>
    <w:p>
      <w:pPr>
        <w:spacing w:line="360" w:lineRule="auto"/>
        <w:rPr>
          <w:rFonts w:ascii="宋体"/>
          <w:b/>
          <w:bCs/>
          <w:sz w:val="28"/>
          <w:szCs w:val="28"/>
        </w:rPr>
      </w:pPr>
      <w:r>
        <w:rPr>
          <w:rFonts w:ascii="宋体" w:hAnsi="宋体"/>
          <w:b/>
          <w:bCs/>
          <w:sz w:val="28"/>
          <w:szCs w:val="28"/>
        </w:rPr>
        <w:t>9</w:t>
      </w:r>
      <w:r>
        <w:rPr>
          <w:rFonts w:hint="eastAsia" w:ascii="宋体" w:hAnsi="宋体"/>
          <w:b/>
          <w:bCs/>
          <w:sz w:val="28"/>
          <w:szCs w:val="28"/>
        </w:rPr>
        <w:t>、理财业务纠纷存在的主要问题</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采集到的数据显示，理财业务纠纷存在的主要问题有：客户对理财产品认知的偏差问题、理财师误导销售问题及产品管理人能力或诚信问题。</w:t>
      </w:r>
    </w:p>
    <w:p>
      <w:pPr>
        <w:spacing w:line="360" w:lineRule="auto"/>
        <w:rPr>
          <w:rFonts w:ascii="宋体"/>
          <w:sz w:val="28"/>
          <w:szCs w:val="28"/>
        </w:rPr>
      </w:pPr>
      <w:r>
        <w:rPr>
          <w:rFonts w:ascii="宋体" w:hAnsi="宋体"/>
          <w:sz w:val="28"/>
          <w:szCs w:val="28"/>
        </w:rPr>
        <w:t xml:space="preserve"> </w:t>
      </w:r>
    </w:p>
    <w:tbl>
      <w:tblPr>
        <w:tblStyle w:val="9"/>
        <w:tblW w:w="7558" w:type="dxa"/>
        <w:jc w:val="center"/>
        <w:tblInd w:w="0" w:type="dxa"/>
        <w:tblLayout w:type="fixed"/>
        <w:tblCellMar>
          <w:top w:w="0" w:type="dxa"/>
          <w:left w:w="108" w:type="dxa"/>
          <w:bottom w:w="0" w:type="dxa"/>
          <w:right w:w="108" w:type="dxa"/>
        </w:tblCellMar>
      </w:tblPr>
      <w:tblGrid>
        <w:gridCol w:w="5398"/>
        <w:gridCol w:w="1080"/>
        <w:gridCol w:w="1080"/>
      </w:tblGrid>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理财业务纠风存在的主要问题</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hint="eastAsia" w:ascii="宋体" w:hAnsi="宋体"/>
                <w:color w:val="000000"/>
                <w:sz w:val="18"/>
                <w:szCs w:val="18"/>
              </w:rPr>
              <w:t>频率</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hint="eastAsia" w:ascii="宋体" w:hAnsi="宋体"/>
                <w:color w:val="000000"/>
                <w:sz w:val="18"/>
                <w:szCs w:val="18"/>
              </w:rPr>
              <w:t>百分比</w:t>
            </w:r>
          </w:p>
        </w:tc>
      </w:tr>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保险</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23"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产品管理人能力或诚信问题</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95</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6.0</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286"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产品培训揭示度，持续营销揭示度，饥饿营销，产品管理能力诚信。</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181"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机构产品培训报喜不报忧</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金融产品设计的问题</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73</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4.6</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客户的诚信问题</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37"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客户对理财产品认知的偏差问题</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238</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15.1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客户经理不专业</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亏损</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23"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理财师误导销售问题</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105</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6.7</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219"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市场不确定因素影响绝对收益</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23"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投后管理没做好，资管人不尽责</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2</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以上全有</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宋体"/>
                <w:color w:val="000000"/>
                <w:sz w:val="18"/>
                <w:szCs w:val="18"/>
              </w:rPr>
              <w:t>2</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.1</w:t>
            </w:r>
            <w:r>
              <w:rPr>
                <w:rFonts w:ascii="宋体" w:hAnsi="宋体"/>
                <w:color w:val="000000"/>
                <w:sz w:val="18"/>
                <w:szCs w:val="18"/>
              </w:rPr>
              <w:t>%</w:t>
            </w:r>
          </w:p>
        </w:tc>
      </w:tr>
      <w:tr>
        <w:tblPrEx>
          <w:tblLayout w:type="fixed"/>
          <w:tblCellMar>
            <w:top w:w="0" w:type="dxa"/>
            <w:left w:w="108" w:type="dxa"/>
            <w:bottom w:w="0" w:type="dxa"/>
            <w:right w:w="108" w:type="dxa"/>
          </w:tblCellMar>
        </w:tblPrEx>
        <w:trPr>
          <w:trHeight w:val="300" w:hRule="atLeast"/>
          <w:jc w:val="center"/>
        </w:trPr>
        <w:tc>
          <w:tcPr>
            <w:tcW w:w="5398"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Arial" w:eastAsia="Times New Roman"/>
                <w:color w:val="000000"/>
                <w:sz w:val="18"/>
                <w:szCs w:val="18"/>
              </w:rPr>
            </w:pPr>
            <w:r>
              <w:rPr>
                <w:rFonts w:hint="eastAsia" w:ascii="宋体" w:hAnsi="宋体"/>
                <w:color w:val="000000"/>
                <w:sz w:val="18"/>
                <w:szCs w:val="18"/>
              </w:rPr>
              <w:t>其它</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hAnsi="Arial" w:eastAsia="Times New Roman"/>
                <w:color w:val="000000"/>
                <w:sz w:val="18"/>
                <w:szCs w:val="18"/>
              </w:rPr>
              <w:t>3</w:t>
            </w:r>
          </w:p>
        </w:tc>
        <w:tc>
          <w:tcPr>
            <w:tcW w:w="1080"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Arial" w:eastAsia="Times New Roman"/>
                <w:color w:val="000000"/>
                <w:sz w:val="18"/>
                <w:szCs w:val="18"/>
              </w:rPr>
            </w:pPr>
            <w:r>
              <w:rPr>
                <w:rFonts w:ascii="宋体"/>
                <w:color w:val="000000"/>
                <w:sz w:val="18"/>
                <w:szCs w:val="18"/>
              </w:rPr>
              <w:t>0</w:t>
            </w:r>
            <w:r>
              <w:rPr>
                <w:rFonts w:ascii="宋体" w:hAnsi="Arial" w:eastAsia="Times New Roman"/>
                <w:color w:val="000000"/>
                <w:sz w:val="18"/>
                <w:szCs w:val="18"/>
              </w:rPr>
              <w:t>.2</w:t>
            </w:r>
            <w:r>
              <w:rPr>
                <w:rFonts w:ascii="宋体" w:hAnsi="宋体"/>
                <w:color w:val="000000"/>
                <w:sz w:val="18"/>
                <w:szCs w:val="18"/>
              </w:rPr>
              <w:t>%</w:t>
            </w:r>
          </w:p>
        </w:tc>
      </w:tr>
    </w:tbl>
    <w:p>
      <w:pPr>
        <w:spacing w:line="360" w:lineRule="auto"/>
        <w:rPr>
          <w:rFonts w:hAnsi="宋体"/>
          <w:b/>
          <w:bCs/>
        </w:rPr>
      </w:pPr>
      <w:r>
        <w:rPr>
          <w:rFonts w:hAnsi="宋体"/>
          <w:b/>
          <w:bCs/>
        </w:rPr>
        <w:t xml:space="preserve"> </w:t>
      </w:r>
    </w:p>
    <w:p>
      <w:pPr>
        <w:spacing w:line="360" w:lineRule="auto"/>
        <w:ind w:firstLine="566"/>
        <w:rPr>
          <w:rFonts w:hAnsi="宋体"/>
          <w:sz w:val="28"/>
          <w:szCs w:val="28"/>
        </w:rPr>
      </w:pPr>
      <w:r>
        <w:rPr>
          <w:rFonts w:hint="eastAsia" w:ascii="宋体" w:hAnsi="宋体"/>
          <w:sz w:val="28"/>
          <w:szCs w:val="28"/>
        </w:rPr>
        <w:t>对金融理财从业人员的管理客户规模和三年以上客户占比、所在机构同行竞争力等数据进行交叉分析发现，管理规模在</w:t>
      </w:r>
      <w:r>
        <w:rPr>
          <w:rFonts w:hAnsi="宋体"/>
          <w:sz w:val="28"/>
          <w:szCs w:val="28"/>
        </w:rPr>
        <w:t>21-50</w:t>
      </w:r>
      <w:r>
        <w:rPr>
          <w:rFonts w:hint="eastAsia" w:ascii="宋体" w:hAnsi="宋体"/>
          <w:sz w:val="28"/>
          <w:szCs w:val="28"/>
        </w:rPr>
        <w:t>位之间的从业人员是满意度最高的，其次是</w:t>
      </w:r>
      <w:r>
        <w:rPr>
          <w:rFonts w:cs="Calibri"/>
          <w:sz w:val="28"/>
          <w:szCs w:val="28"/>
        </w:rPr>
        <w:t>20</w:t>
      </w:r>
      <w:r>
        <w:rPr>
          <w:rFonts w:hint="eastAsia" w:ascii="宋体" w:hAnsi="宋体"/>
          <w:sz w:val="28"/>
          <w:szCs w:val="28"/>
        </w:rPr>
        <w:t>以下，</w:t>
      </w:r>
      <w:r>
        <w:rPr>
          <w:rFonts w:cs="Calibri"/>
          <w:sz w:val="28"/>
          <w:szCs w:val="28"/>
        </w:rPr>
        <w:t>51-100</w:t>
      </w:r>
      <w:r>
        <w:rPr>
          <w:rFonts w:hint="eastAsia" w:ascii="宋体" w:hAnsi="宋体"/>
          <w:sz w:val="28"/>
          <w:szCs w:val="28"/>
        </w:rPr>
        <w:t>、</w:t>
      </w:r>
      <w:r>
        <w:rPr>
          <w:rFonts w:cs="Calibri"/>
          <w:sz w:val="28"/>
          <w:szCs w:val="28"/>
        </w:rPr>
        <w:t>100</w:t>
      </w:r>
      <w:r>
        <w:rPr>
          <w:rFonts w:hint="eastAsia" w:ascii="宋体" w:hAnsi="宋体"/>
          <w:sz w:val="28"/>
          <w:szCs w:val="28"/>
        </w:rPr>
        <w:t>以上满意度依次递减；三年以上客户占比</w:t>
      </w:r>
      <w:r>
        <w:rPr>
          <w:rFonts w:cs="Calibri"/>
          <w:sz w:val="28"/>
          <w:szCs w:val="28"/>
        </w:rPr>
        <w:t>50%</w:t>
      </w:r>
      <w:r>
        <w:rPr>
          <w:rFonts w:hint="eastAsia" w:ascii="宋体" w:hAnsi="宋体"/>
          <w:sz w:val="28"/>
          <w:szCs w:val="28"/>
        </w:rPr>
        <w:t>以上的从业人员是满意度最高的，</w:t>
      </w:r>
      <w:r>
        <w:rPr>
          <w:rFonts w:cs="Calibri"/>
          <w:sz w:val="28"/>
          <w:szCs w:val="28"/>
        </w:rPr>
        <w:t>10%</w:t>
      </w:r>
      <w:r>
        <w:rPr>
          <w:rFonts w:hint="eastAsia" w:ascii="宋体" w:hAnsi="宋体"/>
          <w:sz w:val="28"/>
          <w:szCs w:val="28"/>
        </w:rPr>
        <w:t>以下的满意度最低，</w:t>
      </w:r>
      <w:r>
        <w:rPr>
          <w:rFonts w:cs="Calibri"/>
          <w:sz w:val="28"/>
          <w:szCs w:val="28"/>
        </w:rPr>
        <w:t>30-50%</w:t>
      </w:r>
      <w:r>
        <w:rPr>
          <w:rFonts w:hint="eastAsia" w:ascii="宋体" w:hAnsi="宋体"/>
          <w:sz w:val="28"/>
          <w:szCs w:val="28"/>
        </w:rPr>
        <w:t>、</w:t>
      </w:r>
      <w:r>
        <w:rPr>
          <w:rFonts w:cs="Calibri"/>
          <w:sz w:val="28"/>
          <w:szCs w:val="28"/>
        </w:rPr>
        <w:t>10-30%</w:t>
      </w:r>
      <w:r>
        <w:rPr>
          <w:rFonts w:hint="eastAsia" w:ascii="宋体" w:hAnsi="宋体"/>
          <w:sz w:val="28"/>
          <w:szCs w:val="28"/>
        </w:rPr>
        <w:t>以及工作未满三年的从业人员的满意度差别不明显；认为所在机构同行竞争力强的从业人员满意度最高，其次是所在机构同行竞争力非常强的从业人员，机构同行竞争力很弱的从业人员满意度非常低。</w:t>
      </w:r>
    </w:p>
    <w:p>
      <w:pPr>
        <w:spacing w:line="360" w:lineRule="auto"/>
        <w:rPr>
          <w:rFonts w:hAnsi="宋体"/>
          <w:b/>
          <w:bCs/>
        </w:rPr>
      </w:pPr>
      <w:r>
        <w:rPr>
          <w:rFonts w:hAnsi="宋体"/>
          <w:b/>
          <w:bCs/>
        </w:rPr>
        <w:t xml:space="preserve"> </w:t>
      </w:r>
    </w:p>
    <w:tbl>
      <w:tblPr>
        <w:tblStyle w:val="9"/>
        <w:tblW w:w="8095" w:type="dxa"/>
        <w:tblInd w:w="93" w:type="dxa"/>
        <w:tblLayout w:type="fixed"/>
        <w:tblCellMar>
          <w:top w:w="0" w:type="dxa"/>
          <w:left w:w="108" w:type="dxa"/>
          <w:bottom w:w="0" w:type="dxa"/>
          <w:right w:w="108" w:type="dxa"/>
        </w:tblCellMar>
      </w:tblPr>
      <w:tblGrid>
        <w:gridCol w:w="1149"/>
        <w:gridCol w:w="1134"/>
        <w:gridCol w:w="437"/>
        <w:gridCol w:w="1440"/>
        <w:gridCol w:w="1080"/>
        <w:gridCol w:w="560"/>
        <w:gridCol w:w="1303"/>
        <w:gridCol w:w="992"/>
      </w:tblGrid>
      <w:tr>
        <w:tblPrEx>
          <w:tblLayout w:type="fixed"/>
          <w:tblCellMar>
            <w:top w:w="0" w:type="dxa"/>
            <w:left w:w="108" w:type="dxa"/>
            <w:bottom w:w="0" w:type="dxa"/>
            <w:right w:w="108" w:type="dxa"/>
          </w:tblCellMar>
        </w:tblPrEx>
        <w:trPr>
          <w:trHeight w:val="270" w:hRule="atLeast"/>
        </w:trPr>
        <w:tc>
          <w:tcPr>
            <w:tcW w:w="1149" w:type="dxa"/>
            <w:tcBorders>
              <w:top w:val="single" w:color="auto" w:sz="8" w:space="0"/>
              <w:left w:val="single" w:color="auto" w:sz="8" w:space="0"/>
              <w:bottom w:val="nil"/>
              <w:right w:val="single" w:color="auto" w:sz="4" w:space="0"/>
            </w:tcBorders>
            <w:vAlign w:val="center"/>
          </w:tcPr>
          <w:p>
            <w:pPr>
              <w:jc w:val="center"/>
              <w:rPr>
                <w:rFonts w:ascii="宋体"/>
                <w:b/>
                <w:bCs/>
                <w:color w:val="000000"/>
                <w:sz w:val="20"/>
                <w:szCs w:val="20"/>
              </w:rPr>
            </w:pPr>
            <w:r>
              <w:rPr>
                <w:rFonts w:hint="eastAsia" w:ascii="宋体" w:hAnsi="宋体"/>
                <w:b/>
                <w:bCs/>
                <w:color w:val="000000"/>
                <w:sz w:val="20"/>
                <w:szCs w:val="20"/>
              </w:rPr>
              <w:t>管户数</w:t>
            </w:r>
          </w:p>
        </w:tc>
        <w:tc>
          <w:tcPr>
            <w:tcW w:w="1134" w:type="dxa"/>
            <w:tcBorders>
              <w:top w:val="single" w:color="auto" w:sz="8" w:space="0"/>
              <w:left w:val="nil"/>
              <w:bottom w:val="nil"/>
              <w:right w:val="single" w:color="auto" w:sz="8" w:space="0"/>
            </w:tcBorders>
            <w:vAlign w:val="center"/>
          </w:tcPr>
          <w:p>
            <w:pPr>
              <w:jc w:val="center"/>
              <w:rPr>
                <w:rFonts w:ascii="宋体"/>
                <w:b/>
                <w:bCs/>
                <w:color w:val="000000"/>
                <w:sz w:val="20"/>
                <w:szCs w:val="20"/>
              </w:rPr>
            </w:pPr>
            <w:r>
              <w:rPr>
                <w:rFonts w:hint="eastAsia" w:ascii="宋体" w:hAnsi="宋体"/>
                <w:b/>
                <w:bCs/>
                <w:color w:val="000000"/>
                <w:sz w:val="20"/>
                <w:szCs w:val="20"/>
              </w:rPr>
              <w:t>满意</w:t>
            </w:r>
            <w:r>
              <w:rPr>
                <w:rFonts w:ascii="宋体" w:hAnsi="宋体"/>
                <w:b/>
                <w:bCs/>
                <w:color w:val="000000"/>
                <w:sz w:val="20"/>
                <w:szCs w:val="20"/>
              </w:rPr>
              <w:t>+</w:t>
            </w:r>
          </w:p>
        </w:tc>
        <w:tc>
          <w:tcPr>
            <w:tcW w:w="437" w:type="dxa"/>
            <w:tcBorders>
              <w:top w:val="single" w:color="auto" w:sz="8" w:space="0"/>
              <w:left w:val="nil"/>
              <w:bottom w:val="nil"/>
              <w:right w:val="nil"/>
            </w:tcBorders>
            <w:vAlign w:val="center"/>
          </w:tcPr>
          <w:p>
            <w:pPr>
              <w:jc w:val="left"/>
              <w:rPr>
                <w:rFonts w:ascii="宋体"/>
                <w:b/>
                <w:bCs/>
                <w:color w:val="000000"/>
                <w:sz w:val="22"/>
                <w:szCs w:val="22"/>
              </w:rPr>
            </w:pPr>
            <w:r>
              <w:rPr>
                <w:rFonts w:hint="eastAsia" w:ascii="宋体" w:hAnsi="宋体"/>
                <w:b/>
                <w:bCs/>
                <w:color w:val="000000"/>
                <w:sz w:val="22"/>
                <w:szCs w:val="22"/>
              </w:rPr>
              <w:t>　</w:t>
            </w:r>
          </w:p>
        </w:tc>
        <w:tc>
          <w:tcPr>
            <w:tcW w:w="1440" w:type="dxa"/>
            <w:tcBorders>
              <w:top w:val="single" w:color="auto" w:sz="8" w:space="0"/>
              <w:left w:val="single" w:color="auto" w:sz="8" w:space="0"/>
              <w:bottom w:val="nil"/>
              <w:right w:val="single" w:color="auto" w:sz="4" w:space="0"/>
            </w:tcBorders>
            <w:vAlign w:val="center"/>
          </w:tcPr>
          <w:p>
            <w:pPr>
              <w:jc w:val="center"/>
              <w:rPr>
                <w:rFonts w:ascii="宋体"/>
                <w:b/>
                <w:bCs/>
                <w:color w:val="000000"/>
                <w:sz w:val="20"/>
                <w:szCs w:val="20"/>
              </w:rPr>
            </w:pPr>
            <w:r>
              <w:rPr>
                <w:rFonts w:hint="eastAsia" w:ascii="宋体" w:hAnsi="宋体"/>
                <w:b/>
                <w:bCs/>
                <w:color w:val="000000"/>
                <w:sz w:val="20"/>
                <w:szCs w:val="20"/>
              </w:rPr>
              <w:t>三年以上</w:t>
            </w:r>
          </w:p>
        </w:tc>
        <w:tc>
          <w:tcPr>
            <w:tcW w:w="1080" w:type="dxa"/>
            <w:tcBorders>
              <w:top w:val="single" w:color="auto" w:sz="8" w:space="0"/>
              <w:left w:val="nil"/>
              <w:bottom w:val="nil"/>
              <w:right w:val="single" w:color="auto" w:sz="8" w:space="0"/>
            </w:tcBorders>
            <w:vAlign w:val="center"/>
          </w:tcPr>
          <w:p>
            <w:pPr>
              <w:jc w:val="center"/>
              <w:rPr>
                <w:rFonts w:ascii="宋体"/>
                <w:b/>
                <w:bCs/>
                <w:color w:val="000000"/>
                <w:sz w:val="20"/>
                <w:szCs w:val="20"/>
              </w:rPr>
            </w:pPr>
            <w:r>
              <w:rPr>
                <w:rFonts w:hint="eastAsia" w:ascii="宋体" w:hAnsi="宋体"/>
                <w:b/>
                <w:bCs/>
                <w:color w:val="000000"/>
                <w:sz w:val="20"/>
                <w:szCs w:val="20"/>
              </w:rPr>
              <w:t>满意</w:t>
            </w:r>
            <w:r>
              <w:rPr>
                <w:rFonts w:ascii="宋体" w:hAnsi="宋体"/>
                <w:b/>
                <w:bCs/>
                <w:color w:val="000000"/>
                <w:sz w:val="20"/>
                <w:szCs w:val="20"/>
              </w:rPr>
              <w:t>+</w:t>
            </w:r>
          </w:p>
        </w:tc>
        <w:tc>
          <w:tcPr>
            <w:tcW w:w="560" w:type="dxa"/>
            <w:tcBorders>
              <w:top w:val="single" w:color="auto" w:sz="8" w:space="0"/>
              <w:left w:val="nil"/>
              <w:bottom w:val="nil"/>
              <w:right w:val="nil"/>
            </w:tcBorders>
            <w:vAlign w:val="center"/>
          </w:tcPr>
          <w:p>
            <w:pPr>
              <w:jc w:val="left"/>
              <w:rPr>
                <w:rFonts w:ascii="宋体"/>
                <w:b/>
                <w:bCs/>
                <w:color w:val="000000"/>
                <w:sz w:val="22"/>
                <w:szCs w:val="22"/>
              </w:rPr>
            </w:pPr>
            <w:r>
              <w:rPr>
                <w:rFonts w:hint="eastAsia" w:ascii="宋体" w:hAnsi="宋体"/>
                <w:b/>
                <w:bCs/>
                <w:color w:val="000000"/>
                <w:sz w:val="22"/>
                <w:szCs w:val="22"/>
              </w:rPr>
              <w:t>　</w:t>
            </w:r>
          </w:p>
        </w:tc>
        <w:tc>
          <w:tcPr>
            <w:tcW w:w="1303" w:type="dxa"/>
            <w:tcBorders>
              <w:top w:val="single" w:color="auto" w:sz="8" w:space="0"/>
              <w:left w:val="single" w:color="auto" w:sz="8" w:space="0"/>
              <w:bottom w:val="nil"/>
              <w:right w:val="single" w:color="auto" w:sz="4" w:space="0"/>
            </w:tcBorders>
            <w:vAlign w:val="center"/>
          </w:tcPr>
          <w:p>
            <w:pPr>
              <w:jc w:val="center"/>
              <w:rPr>
                <w:rFonts w:ascii="宋体"/>
                <w:b/>
                <w:bCs/>
                <w:color w:val="000000"/>
                <w:sz w:val="20"/>
                <w:szCs w:val="20"/>
              </w:rPr>
            </w:pPr>
            <w:r>
              <w:rPr>
                <w:rFonts w:hint="eastAsia" w:ascii="宋体" w:hAnsi="宋体"/>
                <w:b/>
                <w:bCs/>
                <w:color w:val="000000"/>
                <w:sz w:val="20"/>
                <w:szCs w:val="20"/>
              </w:rPr>
              <w:t>所在机构</w:t>
            </w:r>
          </w:p>
        </w:tc>
        <w:tc>
          <w:tcPr>
            <w:tcW w:w="992" w:type="dxa"/>
            <w:tcBorders>
              <w:top w:val="single" w:color="auto" w:sz="8" w:space="0"/>
              <w:left w:val="nil"/>
              <w:bottom w:val="nil"/>
              <w:right w:val="single" w:color="auto" w:sz="8" w:space="0"/>
            </w:tcBorders>
            <w:vAlign w:val="center"/>
          </w:tcPr>
          <w:p>
            <w:pPr>
              <w:jc w:val="center"/>
              <w:rPr>
                <w:rFonts w:ascii="宋体"/>
                <w:b/>
                <w:bCs/>
                <w:color w:val="000000"/>
                <w:sz w:val="20"/>
                <w:szCs w:val="20"/>
              </w:rPr>
            </w:pPr>
            <w:r>
              <w:rPr>
                <w:rFonts w:hint="eastAsia" w:ascii="宋体" w:hAnsi="宋体"/>
                <w:b/>
                <w:bCs/>
                <w:color w:val="000000"/>
                <w:sz w:val="20"/>
                <w:szCs w:val="20"/>
              </w:rPr>
              <w:t>满意</w:t>
            </w:r>
            <w:r>
              <w:rPr>
                <w:rFonts w:ascii="宋体" w:hAnsi="宋体"/>
                <w:b/>
                <w:bCs/>
                <w:color w:val="000000"/>
                <w:sz w:val="20"/>
                <w:szCs w:val="20"/>
              </w:rPr>
              <w:t>+</w:t>
            </w:r>
          </w:p>
        </w:tc>
      </w:tr>
      <w:tr>
        <w:tblPrEx>
          <w:tblLayout w:type="fixed"/>
          <w:tblCellMar>
            <w:top w:w="0" w:type="dxa"/>
            <w:left w:w="108" w:type="dxa"/>
            <w:bottom w:w="0" w:type="dxa"/>
            <w:right w:w="108" w:type="dxa"/>
          </w:tblCellMar>
        </w:tblPrEx>
        <w:trPr>
          <w:trHeight w:val="441" w:hRule="atLeast"/>
        </w:trPr>
        <w:tc>
          <w:tcPr>
            <w:tcW w:w="1149" w:type="dxa"/>
            <w:tcBorders>
              <w:top w:val="nil"/>
              <w:left w:val="single" w:color="auto" w:sz="8" w:space="0"/>
              <w:bottom w:val="nil"/>
              <w:right w:val="single" w:color="auto" w:sz="4" w:space="0"/>
            </w:tcBorders>
            <w:vAlign w:val="center"/>
          </w:tcPr>
          <w:p>
            <w:pPr>
              <w:jc w:val="center"/>
              <w:rPr>
                <w:rFonts w:ascii="宋体"/>
                <w:b/>
                <w:bCs/>
                <w:color w:val="000000"/>
                <w:sz w:val="20"/>
                <w:szCs w:val="20"/>
              </w:rPr>
            </w:pPr>
            <w:r>
              <w:rPr>
                <w:rFonts w:hint="eastAsia" w:ascii="宋体" w:hAnsi="宋体"/>
                <w:b/>
                <w:bCs/>
                <w:color w:val="000000"/>
                <w:sz w:val="20"/>
                <w:szCs w:val="20"/>
              </w:rPr>
              <w:t>（位）</w:t>
            </w:r>
            <w:r>
              <w:rPr>
                <w:rFonts w:ascii="宋体" w:hAnsi="宋体"/>
                <w:b/>
                <w:bCs/>
                <w:color w:val="000000"/>
                <w:sz w:val="20"/>
                <w:szCs w:val="20"/>
              </w:rPr>
              <w:t xml:space="preserve"> </w:t>
            </w:r>
          </w:p>
        </w:tc>
        <w:tc>
          <w:tcPr>
            <w:tcW w:w="1134" w:type="dxa"/>
            <w:tcBorders>
              <w:top w:val="nil"/>
              <w:left w:val="nil"/>
              <w:bottom w:val="nil"/>
              <w:right w:val="single" w:color="auto" w:sz="8" w:space="0"/>
            </w:tcBorders>
            <w:vAlign w:val="center"/>
          </w:tcPr>
          <w:p>
            <w:pPr>
              <w:jc w:val="center"/>
              <w:rPr>
                <w:rFonts w:ascii="宋体"/>
                <w:b/>
                <w:bCs/>
                <w:color w:val="000000"/>
                <w:sz w:val="20"/>
                <w:szCs w:val="20"/>
              </w:rPr>
            </w:pPr>
            <w:r>
              <w:rPr>
                <w:rFonts w:hint="eastAsia" w:ascii="宋体" w:hAnsi="宋体"/>
                <w:b/>
                <w:bCs/>
                <w:color w:val="000000"/>
                <w:sz w:val="20"/>
                <w:szCs w:val="20"/>
              </w:rPr>
              <w:t>较满意</w:t>
            </w:r>
            <w:r>
              <w:rPr>
                <w:rFonts w:ascii="宋体" w:hAnsi="宋体"/>
                <w:b/>
                <w:bCs/>
                <w:color w:val="000000"/>
                <w:sz w:val="20"/>
                <w:szCs w:val="20"/>
              </w:rPr>
              <w:t>%</w:t>
            </w:r>
          </w:p>
        </w:tc>
        <w:tc>
          <w:tcPr>
            <w:tcW w:w="437" w:type="dxa"/>
            <w:tcBorders>
              <w:top w:val="nil"/>
              <w:left w:val="nil"/>
              <w:bottom w:val="nil"/>
              <w:right w:val="nil"/>
            </w:tcBorders>
            <w:vAlign w:val="center"/>
          </w:tcPr>
          <w:p>
            <w:pPr>
              <w:jc w:val="left"/>
              <w:rPr>
                <w:rFonts w:ascii="宋体"/>
                <w:b/>
                <w:bCs/>
                <w:color w:val="000000"/>
                <w:sz w:val="22"/>
                <w:szCs w:val="22"/>
              </w:rPr>
            </w:pPr>
          </w:p>
        </w:tc>
        <w:tc>
          <w:tcPr>
            <w:tcW w:w="1440" w:type="dxa"/>
            <w:tcBorders>
              <w:top w:val="nil"/>
              <w:left w:val="single" w:color="auto" w:sz="8" w:space="0"/>
              <w:bottom w:val="nil"/>
              <w:right w:val="single" w:color="auto" w:sz="4" w:space="0"/>
            </w:tcBorders>
            <w:vAlign w:val="center"/>
          </w:tcPr>
          <w:p>
            <w:pPr>
              <w:jc w:val="center"/>
              <w:rPr>
                <w:rFonts w:ascii="宋体"/>
                <w:b/>
                <w:bCs/>
                <w:color w:val="000000"/>
                <w:sz w:val="20"/>
                <w:szCs w:val="20"/>
              </w:rPr>
            </w:pPr>
            <w:r>
              <w:rPr>
                <w:rFonts w:hint="eastAsia" w:ascii="宋体" w:hAnsi="宋体"/>
                <w:b/>
                <w:bCs/>
                <w:color w:val="000000"/>
                <w:sz w:val="20"/>
                <w:szCs w:val="20"/>
              </w:rPr>
              <w:t>客户比例</w:t>
            </w:r>
          </w:p>
        </w:tc>
        <w:tc>
          <w:tcPr>
            <w:tcW w:w="1080" w:type="dxa"/>
            <w:tcBorders>
              <w:top w:val="nil"/>
              <w:left w:val="nil"/>
              <w:bottom w:val="nil"/>
              <w:right w:val="single" w:color="auto" w:sz="8" w:space="0"/>
            </w:tcBorders>
            <w:vAlign w:val="center"/>
          </w:tcPr>
          <w:p>
            <w:pPr>
              <w:jc w:val="center"/>
              <w:rPr>
                <w:rFonts w:ascii="宋体"/>
                <w:b/>
                <w:bCs/>
                <w:color w:val="000000"/>
                <w:sz w:val="20"/>
                <w:szCs w:val="20"/>
              </w:rPr>
            </w:pPr>
            <w:r>
              <w:rPr>
                <w:rFonts w:hint="eastAsia" w:ascii="宋体" w:hAnsi="宋体"/>
                <w:b/>
                <w:bCs/>
                <w:color w:val="000000"/>
                <w:sz w:val="20"/>
                <w:szCs w:val="20"/>
              </w:rPr>
              <w:t>较满意</w:t>
            </w:r>
            <w:r>
              <w:rPr>
                <w:rFonts w:ascii="宋体" w:hAnsi="宋体"/>
                <w:b/>
                <w:bCs/>
                <w:color w:val="000000"/>
                <w:sz w:val="20"/>
                <w:szCs w:val="20"/>
              </w:rPr>
              <w:t>%</w:t>
            </w:r>
          </w:p>
        </w:tc>
        <w:tc>
          <w:tcPr>
            <w:tcW w:w="560" w:type="dxa"/>
            <w:tcBorders>
              <w:top w:val="nil"/>
              <w:left w:val="nil"/>
              <w:bottom w:val="nil"/>
              <w:right w:val="nil"/>
            </w:tcBorders>
            <w:vAlign w:val="center"/>
          </w:tcPr>
          <w:p>
            <w:pPr>
              <w:jc w:val="left"/>
              <w:rPr>
                <w:rFonts w:ascii="宋体"/>
                <w:b/>
                <w:bCs/>
                <w:color w:val="000000"/>
                <w:sz w:val="22"/>
                <w:szCs w:val="22"/>
              </w:rPr>
            </w:pPr>
            <w:r>
              <w:rPr>
                <w:rFonts w:hint="eastAsia" w:ascii="宋体" w:hAnsi="宋体"/>
                <w:b/>
                <w:bCs/>
                <w:color w:val="000000"/>
                <w:sz w:val="22"/>
                <w:szCs w:val="22"/>
              </w:rPr>
              <w:t>　</w:t>
            </w:r>
          </w:p>
        </w:tc>
        <w:tc>
          <w:tcPr>
            <w:tcW w:w="1303" w:type="dxa"/>
            <w:tcBorders>
              <w:top w:val="nil"/>
              <w:left w:val="single" w:color="auto" w:sz="8" w:space="0"/>
              <w:bottom w:val="nil"/>
              <w:right w:val="single" w:color="auto" w:sz="4" w:space="0"/>
            </w:tcBorders>
            <w:vAlign w:val="center"/>
          </w:tcPr>
          <w:p>
            <w:pPr>
              <w:jc w:val="center"/>
              <w:rPr>
                <w:rFonts w:ascii="宋体"/>
                <w:b/>
                <w:bCs/>
                <w:color w:val="000000"/>
                <w:sz w:val="20"/>
                <w:szCs w:val="20"/>
              </w:rPr>
            </w:pPr>
            <w:r>
              <w:rPr>
                <w:rFonts w:hint="eastAsia" w:ascii="宋体" w:hAnsi="宋体"/>
                <w:b/>
                <w:bCs/>
                <w:color w:val="000000"/>
                <w:sz w:val="20"/>
                <w:szCs w:val="20"/>
              </w:rPr>
              <w:t>同行竞争力</w:t>
            </w:r>
          </w:p>
        </w:tc>
        <w:tc>
          <w:tcPr>
            <w:tcW w:w="992" w:type="dxa"/>
            <w:tcBorders>
              <w:top w:val="nil"/>
              <w:left w:val="nil"/>
              <w:bottom w:val="nil"/>
              <w:right w:val="single" w:color="auto" w:sz="8" w:space="0"/>
            </w:tcBorders>
            <w:vAlign w:val="center"/>
          </w:tcPr>
          <w:p>
            <w:pPr>
              <w:jc w:val="center"/>
              <w:rPr>
                <w:rFonts w:ascii="宋体"/>
                <w:b/>
                <w:bCs/>
                <w:color w:val="000000"/>
                <w:sz w:val="20"/>
                <w:szCs w:val="20"/>
              </w:rPr>
            </w:pPr>
            <w:r>
              <w:rPr>
                <w:rFonts w:hint="eastAsia" w:ascii="宋体" w:hAnsi="宋体"/>
                <w:b/>
                <w:bCs/>
                <w:color w:val="000000"/>
                <w:sz w:val="20"/>
                <w:szCs w:val="20"/>
              </w:rPr>
              <w:t>较满意</w:t>
            </w:r>
            <w:r>
              <w:rPr>
                <w:rFonts w:ascii="宋体" w:hAnsi="宋体"/>
                <w:b/>
                <w:bCs/>
                <w:color w:val="000000"/>
                <w:sz w:val="20"/>
                <w:szCs w:val="20"/>
              </w:rPr>
              <w:t>%</w:t>
            </w:r>
          </w:p>
        </w:tc>
      </w:tr>
      <w:tr>
        <w:tblPrEx>
          <w:tblLayout w:type="fixed"/>
          <w:tblCellMar>
            <w:top w:w="0" w:type="dxa"/>
            <w:left w:w="108" w:type="dxa"/>
            <w:bottom w:w="0" w:type="dxa"/>
            <w:right w:w="108" w:type="dxa"/>
          </w:tblCellMar>
        </w:tblPrEx>
        <w:trPr>
          <w:trHeight w:val="285" w:hRule="atLeast"/>
        </w:trPr>
        <w:tc>
          <w:tcPr>
            <w:tcW w:w="1149" w:type="dxa"/>
            <w:tcBorders>
              <w:top w:val="single" w:color="auto" w:sz="8" w:space="0"/>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100</w:t>
            </w:r>
            <w:r>
              <w:rPr>
                <w:rFonts w:hint="eastAsia" w:ascii="MingLiU" w:eastAsia="MingLiU"/>
                <w:color w:val="000000"/>
                <w:sz w:val="18"/>
                <w:szCs w:val="18"/>
              </w:rPr>
              <w:t>以上</w:t>
            </w:r>
          </w:p>
        </w:tc>
        <w:tc>
          <w:tcPr>
            <w:tcW w:w="1134" w:type="dxa"/>
            <w:tcBorders>
              <w:top w:val="single" w:color="auto" w:sz="8" w:space="0"/>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49.64</w:t>
            </w:r>
          </w:p>
        </w:tc>
        <w:tc>
          <w:tcPr>
            <w:tcW w:w="437" w:type="dxa"/>
            <w:tcBorders>
              <w:top w:val="nil"/>
              <w:left w:val="nil"/>
              <w:bottom w:val="nil"/>
              <w:right w:val="nil"/>
            </w:tcBorders>
            <w:vAlign w:val="center"/>
          </w:tcPr>
          <w:p>
            <w:pPr>
              <w:jc w:val="left"/>
              <w:rPr>
                <w:rFonts w:ascii="宋体"/>
                <w:color w:val="000000"/>
                <w:sz w:val="22"/>
                <w:szCs w:val="22"/>
              </w:rPr>
            </w:pPr>
          </w:p>
        </w:tc>
        <w:tc>
          <w:tcPr>
            <w:tcW w:w="1440" w:type="dxa"/>
            <w:tcBorders>
              <w:top w:val="single" w:color="auto" w:sz="8" w:space="0"/>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50%</w:t>
            </w:r>
            <w:r>
              <w:rPr>
                <w:rFonts w:hint="eastAsia" w:ascii="MingLiU" w:eastAsia="MingLiU"/>
                <w:color w:val="000000"/>
                <w:sz w:val="18"/>
                <w:szCs w:val="18"/>
              </w:rPr>
              <w:t>以上</w:t>
            </w:r>
          </w:p>
        </w:tc>
        <w:tc>
          <w:tcPr>
            <w:tcW w:w="1080" w:type="dxa"/>
            <w:tcBorders>
              <w:top w:val="single" w:color="auto" w:sz="8" w:space="0"/>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60.08</w:t>
            </w:r>
          </w:p>
        </w:tc>
        <w:tc>
          <w:tcPr>
            <w:tcW w:w="560" w:type="dxa"/>
            <w:tcBorders>
              <w:top w:val="nil"/>
              <w:left w:val="nil"/>
              <w:bottom w:val="nil"/>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1303" w:type="dxa"/>
            <w:tcBorders>
              <w:top w:val="single" w:color="auto" w:sz="8" w:space="0"/>
              <w:left w:val="single" w:color="auto" w:sz="8" w:space="0"/>
              <w:bottom w:val="single" w:color="auto" w:sz="4" w:space="0"/>
              <w:right w:val="single" w:color="auto" w:sz="4" w:space="0"/>
            </w:tcBorders>
            <w:vAlign w:val="center"/>
          </w:tcPr>
          <w:p>
            <w:pPr>
              <w:jc w:val="center"/>
              <w:rPr>
                <w:rFonts w:ascii="宋体"/>
                <w:color w:val="000000"/>
                <w:sz w:val="20"/>
                <w:szCs w:val="20"/>
              </w:rPr>
            </w:pPr>
            <w:r>
              <w:rPr>
                <w:rFonts w:hint="eastAsia" w:ascii="宋体" w:hAnsi="宋体"/>
                <w:color w:val="000000"/>
                <w:sz w:val="20"/>
                <w:szCs w:val="20"/>
              </w:rPr>
              <w:t>非常强</w:t>
            </w:r>
          </w:p>
        </w:tc>
        <w:tc>
          <w:tcPr>
            <w:tcW w:w="992" w:type="dxa"/>
            <w:tcBorders>
              <w:top w:val="single" w:color="auto" w:sz="8" w:space="0"/>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65.07</w:t>
            </w:r>
          </w:p>
        </w:tc>
      </w:tr>
      <w:tr>
        <w:tblPrEx>
          <w:tblLayout w:type="fixed"/>
          <w:tblCellMar>
            <w:top w:w="0" w:type="dxa"/>
            <w:left w:w="108" w:type="dxa"/>
            <w:bottom w:w="0" w:type="dxa"/>
            <w:right w:w="108" w:type="dxa"/>
          </w:tblCellMar>
        </w:tblPrEx>
        <w:trPr>
          <w:trHeight w:val="270" w:hRule="atLeast"/>
        </w:trPr>
        <w:tc>
          <w:tcPr>
            <w:tcW w:w="1149" w:type="dxa"/>
            <w:tcBorders>
              <w:top w:val="nil"/>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51-100</w:t>
            </w:r>
          </w:p>
        </w:tc>
        <w:tc>
          <w:tcPr>
            <w:tcW w:w="1134"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56.35</w:t>
            </w:r>
          </w:p>
        </w:tc>
        <w:tc>
          <w:tcPr>
            <w:tcW w:w="437" w:type="dxa"/>
            <w:tcBorders>
              <w:top w:val="nil"/>
              <w:left w:val="nil"/>
              <w:bottom w:val="nil"/>
              <w:right w:val="nil"/>
            </w:tcBorders>
            <w:vAlign w:val="center"/>
          </w:tcPr>
          <w:p>
            <w:pPr>
              <w:jc w:val="left"/>
              <w:rPr>
                <w:rFonts w:ascii="宋体"/>
                <w:color w:val="000000"/>
                <w:sz w:val="22"/>
                <w:szCs w:val="22"/>
              </w:rPr>
            </w:pPr>
          </w:p>
        </w:tc>
        <w:tc>
          <w:tcPr>
            <w:tcW w:w="1440" w:type="dxa"/>
            <w:tcBorders>
              <w:top w:val="nil"/>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30-50%</w:t>
            </w:r>
          </w:p>
        </w:tc>
        <w:tc>
          <w:tcPr>
            <w:tcW w:w="1080"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54.17</w:t>
            </w:r>
          </w:p>
        </w:tc>
        <w:tc>
          <w:tcPr>
            <w:tcW w:w="560" w:type="dxa"/>
            <w:tcBorders>
              <w:top w:val="nil"/>
              <w:left w:val="nil"/>
              <w:bottom w:val="nil"/>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1303" w:type="dxa"/>
            <w:tcBorders>
              <w:top w:val="nil"/>
              <w:left w:val="single" w:color="auto" w:sz="8" w:space="0"/>
              <w:bottom w:val="single" w:color="auto" w:sz="4" w:space="0"/>
              <w:right w:val="single" w:color="auto" w:sz="4" w:space="0"/>
            </w:tcBorders>
            <w:vAlign w:val="center"/>
          </w:tcPr>
          <w:p>
            <w:pPr>
              <w:jc w:val="center"/>
              <w:rPr>
                <w:rFonts w:ascii="宋体"/>
                <w:color w:val="000000"/>
                <w:sz w:val="20"/>
                <w:szCs w:val="20"/>
              </w:rPr>
            </w:pPr>
            <w:r>
              <w:rPr>
                <w:rFonts w:hint="eastAsia" w:ascii="宋体" w:hAnsi="宋体"/>
                <w:color w:val="000000"/>
                <w:sz w:val="20"/>
                <w:szCs w:val="20"/>
              </w:rPr>
              <w:t>强</w:t>
            </w:r>
          </w:p>
        </w:tc>
        <w:tc>
          <w:tcPr>
            <w:tcW w:w="992"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67.87</w:t>
            </w:r>
          </w:p>
        </w:tc>
      </w:tr>
      <w:tr>
        <w:tblPrEx>
          <w:tblLayout w:type="fixed"/>
          <w:tblCellMar>
            <w:top w:w="0" w:type="dxa"/>
            <w:left w:w="108" w:type="dxa"/>
            <w:bottom w:w="0" w:type="dxa"/>
            <w:right w:w="108" w:type="dxa"/>
          </w:tblCellMar>
        </w:tblPrEx>
        <w:trPr>
          <w:trHeight w:val="270" w:hRule="atLeast"/>
        </w:trPr>
        <w:tc>
          <w:tcPr>
            <w:tcW w:w="1149" w:type="dxa"/>
            <w:tcBorders>
              <w:top w:val="nil"/>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21-50</w:t>
            </w:r>
            <w:r>
              <w:rPr>
                <w:rFonts w:ascii="MingLiU" w:hAnsi="宋体"/>
                <w:color w:val="000000"/>
                <w:sz w:val="18"/>
                <w:szCs w:val="18"/>
              </w:rPr>
              <w:t> </w:t>
            </w:r>
          </w:p>
        </w:tc>
        <w:tc>
          <w:tcPr>
            <w:tcW w:w="1134"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60.61</w:t>
            </w:r>
          </w:p>
        </w:tc>
        <w:tc>
          <w:tcPr>
            <w:tcW w:w="437" w:type="dxa"/>
            <w:tcBorders>
              <w:top w:val="nil"/>
              <w:left w:val="nil"/>
              <w:bottom w:val="nil"/>
              <w:right w:val="nil"/>
            </w:tcBorders>
            <w:vAlign w:val="center"/>
          </w:tcPr>
          <w:p>
            <w:pPr>
              <w:jc w:val="left"/>
              <w:rPr>
                <w:rFonts w:ascii="宋体"/>
                <w:color w:val="000000"/>
                <w:sz w:val="22"/>
                <w:szCs w:val="22"/>
              </w:rPr>
            </w:pPr>
          </w:p>
        </w:tc>
        <w:tc>
          <w:tcPr>
            <w:tcW w:w="1440" w:type="dxa"/>
            <w:tcBorders>
              <w:top w:val="nil"/>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10-30%</w:t>
            </w:r>
          </w:p>
        </w:tc>
        <w:tc>
          <w:tcPr>
            <w:tcW w:w="1080"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54.9</w:t>
            </w:r>
          </w:p>
        </w:tc>
        <w:tc>
          <w:tcPr>
            <w:tcW w:w="560" w:type="dxa"/>
            <w:tcBorders>
              <w:top w:val="nil"/>
              <w:left w:val="nil"/>
              <w:bottom w:val="nil"/>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1303" w:type="dxa"/>
            <w:tcBorders>
              <w:top w:val="nil"/>
              <w:left w:val="single" w:color="auto" w:sz="8" w:space="0"/>
              <w:bottom w:val="single" w:color="auto" w:sz="4" w:space="0"/>
              <w:right w:val="single" w:color="auto" w:sz="4" w:space="0"/>
            </w:tcBorders>
            <w:vAlign w:val="center"/>
          </w:tcPr>
          <w:p>
            <w:pPr>
              <w:jc w:val="center"/>
              <w:rPr>
                <w:rFonts w:ascii="宋体"/>
                <w:color w:val="000000"/>
                <w:sz w:val="20"/>
                <w:szCs w:val="20"/>
              </w:rPr>
            </w:pPr>
            <w:r>
              <w:rPr>
                <w:rFonts w:hint="eastAsia" w:ascii="宋体" w:hAnsi="宋体"/>
                <w:color w:val="000000"/>
                <w:sz w:val="20"/>
                <w:szCs w:val="20"/>
              </w:rPr>
              <w:t>一般</w:t>
            </w:r>
          </w:p>
        </w:tc>
        <w:tc>
          <w:tcPr>
            <w:tcW w:w="992"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48.78</w:t>
            </w:r>
          </w:p>
        </w:tc>
      </w:tr>
      <w:tr>
        <w:tblPrEx>
          <w:tblLayout w:type="fixed"/>
          <w:tblCellMar>
            <w:top w:w="0" w:type="dxa"/>
            <w:left w:w="108" w:type="dxa"/>
            <w:bottom w:w="0" w:type="dxa"/>
            <w:right w:w="108" w:type="dxa"/>
          </w:tblCellMar>
        </w:tblPrEx>
        <w:trPr>
          <w:trHeight w:val="270" w:hRule="atLeast"/>
        </w:trPr>
        <w:tc>
          <w:tcPr>
            <w:tcW w:w="1149" w:type="dxa"/>
            <w:tcBorders>
              <w:top w:val="nil"/>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20</w:t>
            </w:r>
            <w:r>
              <w:rPr>
                <w:rFonts w:hint="eastAsia" w:ascii="MingLiU" w:eastAsia="MingLiU"/>
                <w:color w:val="000000"/>
                <w:sz w:val="18"/>
                <w:szCs w:val="18"/>
              </w:rPr>
              <w:t>及以下</w:t>
            </w:r>
          </w:p>
        </w:tc>
        <w:tc>
          <w:tcPr>
            <w:tcW w:w="1134"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58.33</w:t>
            </w:r>
          </w:p>
        </w:tc>
        <w:tc>
          <w:tcPr>
            <w:tcW w:w="437" w:type="dxa"/>
            <w:tcBorders>
              <w:top w:val="nil"/>
              <w:left w:val="nil"/>
              <w:bottom w:val="nil"/>
              <w:right w:val="nil"/>
            </w:tcBorders>
            <w:vAlign w:val="center"/>
          </w:tcPr>
          <w:p>
            <w:pPr>
              <w:jc w:val="left"/>
              <w:rPr>
                <w:rFonts w:ascii="宋体"/>
                <w:color w:val="000000"/>
                <w:sz w:val="22"/>
                <w:szCs w:val="22"/>
              </w:rPr>
            </w:pPr>
          </w:p>
        </w:tc>
        <w:tc>
          <w:tcPr>
            <w:tcW w:w="1440" w:type="dxa"/>
            <w:tcBorders>
              <w:top w:val="nil"/>
              <w:left w:val="single" w:color="auto" w:sz="8" w:space="0"/>
              <w:bottom w:val="single" w:color="auto" w:sz="4" w:space="0"/>
              <w:right w:val="single" w:color="auto" w:sz="4" w:space="0"/>
            </w:tcBorders>
          </w:tcPr>
          <w:p>
            <w:pPr>
              <w:jc w:val="center"/>
              <w:rPr>
                <w:rFonts w:ascii="MingLiU" w:hAnsi="宋体"/>
                <w:color w:val="000000"/>
                <w:sz w:val="18"/>
                <w:szCs w:val="18"/>
              </w:rPr>
            </w:pPr>
            <w:r>
              <w:rPr>
                <w:rFonts w:ascii="MingLiU" w:eastAsia="MingLiU"/>
                <w:color w:val="000000"/>
                <w:sz w:val="18"/>
                <w:szCs w:val="18"/>
              </w:rPr>
              <w:t>10%</w:t>
            </w:r>
            <w:r>
              <w:rPr>
                <w:rFonts w:hint="eastAsia" w:ascii="MingLiU" w:eastAsia="MingLiU"/>
                <w:color w:val="000000"/>
                <w:sz w:val="18"/>
                <w:szCs w:val="18"/>
              </w:rPr>
              <w:t>以下</w:t>
            </w:r>
          </w:p>
        </w:tc>
        <w:tc>
          <w:tcPr>
            <w:tcW w:w="1080"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46.58</w:t>
            </w:r>
          </w:p>
        </w:tc>
        <w:tc>
          <w:tcPr>
            <w:tcW w:w="560" w:type="dxa"/>
            <w:tcBorders>
              <w:top w:val="nil"/>
              <w:left w:val="nil"/>
              <w:bottom w:val="nil"/>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1303" w:type="dxa"/>
            <w:tcBorders>
              <w:top w:val="nil"/>
              <w:left w:val="single" w:color="auto" w:sz="8" w:space="0"/>
              <w:bottom w:val="single" w:color="auto" w:sz="4" w:space="0"/>
              <w:right w:val="single" w:color="auto" w:sz="4" w:space="0"/>
            </w:tcBorders>
            <w:vAlign w:val="center"/>
          </w:tcPr>
          <w:p>
            <w:pPr>
              <w:jc w:val="center"/>
              <w:rPr>
                <w:rFonts w:ascii="宋体"/>
                <w:color w:val="000000"/>
                <w:sz w:val="20"/>
                <w:szCs w:val="20"/>
              </w:rPr>
            </w:pPr>
            <w:r>
              <w:rPr>
                <w:rFonts w:hint="eastAsia" w:ascii="宋体" w:hAnsi="宋体"/>
                <w:color w:val="000000"/>
                <w:sz w:val="20"/>
                <w:szCs w:val="20"/>
              </w:rPr>
              <w:t>很弱</w:t>
            </w:r>
          </w:p>
        </w:tc>
        <w:tc>
          <w:tcPr>
            <w:tcW w:w="992" w:type="dxa"/>
            <w:tcBorders>
              <w:top w:val="nil"/>
              <w:left w:val="nil"/>
              <w:bottom w:val="single" w:color="auto" w:sz="4" w:space="0"/>
              <w:right w:val="single" w:color="auto" w:sz="8" w:space="0"/>
            </w:tcBorders>
            <w:vAlign w:val="center"/>
          </w:tcPr>
          <w:p>
            <w:pPr>
              <w:jc w:val="center"/>
              <w:rPr>
                <w:rFonts w:ascii="宋体"/>
                <w:color w:val="000000"/>
                <w:sz w:val="20"/>
                <w:szCs w:val="20"/>
              </w:rPr>
            </w:pPr>
            <w:r>
              <w:rPr>
                <w:rFonts w:ascii="宋体" w:hAnsi="宋体"/>
                <w:color w:val="000000"/>
                <w:sz w:val="20"/>
                <w:szCs w:val="20"/>
              </w:rPr>
              <w:t>14.63</w:t>
            </w:r>
          </w:p>
        </w:tc>
      </w:tr>
      <w:tr>
        <w:tblPrEx>
          <w:tblLayout w:type="fixed"/>
          <w:tblCellMar>
            <w:top w:w="0" w:type="dxa"/>
            <w:left w:w="108" w:type="dxa"/>
            <w:bottom w:w="0" w:type="dxa"/>
            <w:right w:w="108" w:type="dxa"/>
          </w:tblCellMar>
        </w:tblPrEx>
        <w:trPr>
          <w:trHeight w:val="270" w:hRule="atLeast"/>
        </w:trPr>
        <w:tc>
          <w:tcPr>
            <w:tcW w:w="1149" w:type="dxa"/>
            <w:tcBorders>
              <w:top w:val="nil"/>
              <w:left w:val="single" w:color="auto" w:sz="8" w:space="0"/>
              <w:bottom w:val="single" w:color="auto" w:sz="8" w:space="0"/>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1134" w:type="dxa"/>
            <w:tcBorders>
              <w:top w:val="nil"/>
              <w:left w:val="single" w:color="auto" w:sz="4" w:space="0"/>
              <w:bottom w:val="single" w:color="auto" w:sz="8" w:space="0"/>
              <w:right w:val="single" w:color="auto" w:sz="8" w:space="0"/>
            </w:tcBorders>
            <w:vAlign w:val="center"/>
          </w:tcPr>
          <w:p>
            <w:pPr>
              <w:jc w:val="left"/>
              <w:rPr>
                <w:rFonts w:ascii="宋体"/>
                <w:color w:val="000000"/>
                <w:sz w:val="22"/>
                <w:szCs w:val="22"/>
              </w:rPr>
            </w:pPr>
            <w:r>
              <w:rPr>
                <w:rFonts w:hint="eastAsia" w:ascii="宋体" w:hAnsi="宋体"/>
                <w:color w:val="000000"/>
                <w:sz w:val="22"/>
                <w:szCs w:val="22"/>
              </w:rPr>
              <w:t>　</w:t>
            </w:r>
          </w:p>
        </w:tc>
        <w:tc>
          <w:tcPr>
            <w:tcW w:w="437" w:type="dxa"/>
            <w:tcBorders>
              <w:top w:val="nil"/>
              <w:left w:val="nil"/>
              <w:bottom w:val="single" w:color="auto" w:sz="8" w:space="0"/>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1440" w:type="dxa"/>
            <w:tcBorders>
              <w:top w:val="nil"/>
              <w:left w:val="single" w:color="auto" w:sz="8" w:space="0"/>
              <w:bottom w:val="single" w:color="auto" w:sz="8" w:space="0"/>
              <w:right w:val="single" w:color="auto" w:sz="4" w:space="0"/>
            </w:tcBorders>
          </w:tcPr>
          <w:p>
            <w:pPr>
              <w:jc w:val="left"/>
              <w:rPr>
                <w:rFonts w:ascii="MingLiU" w:hAnsi="宋体"/>
                <w:color w:val="000000"/>
                <w:sz w:val="18"/>
                <w:szCs w:val="18"/>
              </w:rPr>
            </w:pPr>
            <w:r>
              <w:rPr>
                <w:rFonts w:hint="eastAsia" w:ascii="MingLiU" w:eastAsia="MingLiU"/>
                <w:color w:val="000000"/>
                <w:sz w:val="18"/>
                <w:szCs w:val="18"/>
              </w:rPr>
              <w:t>工作未满</w:t>
            </w:r>
            <w:r>
              <w:rPr>
                <w:rFonts w:ascii="MingLiU" w:eastAsia="MingLiU"/>
                <w:color w:val="000000"/>
                <w:sz w:val="18"/>
                <w:szCs w:val="18"/>
              </w:rPr>
              <w:t>3</w:t>
            </w:r>
            <w:r>
              <w:rPr>
                <w:rFonts w:hint="eastAsia" w:ascii="MingLiU" w:eastAsia="MingLiU"/>
                <w:color w:val="000000"/>
                <w:sz w:val="18"/>
                <w:szCs w:val="18"/>
              </w:rPr>
              <w:t>年</w:t>
            </w:r>
          </w:p>
        </w:tc>
        <w:tc>
          <w:tcPr>
            <w:tcW w:w="1080" w:type="dxa"/>
            <w:tcBorders>
              <w:top w:val="nil"/>
              <w:left w:val="nil"/>
              <w:bottom w:val="single" w:color="auto" w:sz="8" w:space="0"/>
              <w:right w:val="single" w:color="auto" w:sz="8" w:space="0"/>
            </w:tcBorders>
            <w:vAlign w:val="center"/>
          </w:tcPr>
          <w:p>
            <w:pPr>
              <w:jc w:val="center"/>
              <w:rPr>
                <w:rFonts w:ascii="宋体"/>
                <w:color w:val="000000"/>
                <w:sz w:val="20"/>
                <w:szCs w:val="20"/>
              </w:rPr>
            </w:pPr>
            <w:r>
              <w:rPr>
                <w:rFonts w:ascii="宋体" w:hAnsi="宋体"/>
                <w:color w:val="000000"/>
                <w:sz w:val="20"/>
                <w:szCs w:val="20"/>
              </w:rPr>
              <w:t>54.13</w:t>
            </w:r>
          </w:p>
        </w:tc>
        <w:tc>
          <w:tcPr>
            <w:tcW w:w="560" w:type="dxa"/>
            <w:tcBorders>
              <w:top w:val="nil"/>
              <w:left w:val="nil"/>
              <w:bottom w:val="single" w:color="auto" w:sz="8" w:space="0"/>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1303" w:type="dxa"/>
            <w:tcBorders>
              <w:top w:val="nil"/>
              <w:left w:val="single" w:color="auto" w:sz="8" w:space="0"/>
              <w:bottom w:val="single" w:color="auto" w:sz="8" w:space="0"/>
              <w:right w:val="nil"/>
            </w:tcBorders>
            <w:vAlign w:val="center"/>
          </w:tcPr>
          <w:p>
            <w:pPr>
              <w:jc w:val="left"/>
              <w:rPr>
                <w:rFonts w:ascii="宋体"/>
                <w:color w:val="000000"/>
                <w:sz w:val="22"/>
                <w:szCs w:val="22"/>
              </w:rPr>
            </w:pPr>
            <w:r>
              <w:rPr>
                <w:rFonts w:hint="eastAsia" w:ascii="宋体" w:hAnsi="宋体"/>
                <w:color w:val="000000"/>
                <w:sz w:val="22"/>
                <w:szCs w:val="22"/>
              </w:rPr>
              <w:t>　</w:t>
            </w:r>
          </w:p>
        </w:tc>
        <w:tc>
          <w:tcPr>
            <w:tcW w:w="992" w:type="dxa"/>
            <w:tcBorders>
              <w:top w:val="nil"/>
              <w:left w:val="nil"/>
              <w:bottom w:val="single" w:color="auto" w:sz="8" w:space="0"/>
              <w:right w:val="single" w:color="auto" w:sz="8" w:space="0"/>
            </w:tcBorders>
            <w:vAlign w:val="center"/>
          </w:tcPr>
          <w:p>
            <w:pPr>
              <w:jc w:val="left"/>
              <w:rPr>
                <w:rFonts w:ascii="宋体"/>
                <w:color w:val="000000"/>
                <w:sz w:val="22"/>
                <w:szCs w:val="22"/>
              </w:rPr>
            </w:pPr>
            <w:r>
              <w:rPr>
                <w:rFonts w:hint="eastAsia" w:ascii="宋体" w:hAnsi="宋体"/>
                <w:color w:val="000000"/>
                <w:sz w:val="22"/>
                <w:szCs w:val="22"/>
              </w:rPr>
              <w:t>　</w:t>
            </w:r>
          </w:p>
        </w:tc>
      </w:tr>
    </w:tbl>
    <w:p>
      <w:pPr>
        <w:spacing w:line="360" w:lineRule="auto"/>
        <w:rPr>
          <w:rFonts w:hAnsi="宋体"/>
          <w:b/>
          <w:bCs/>
        </w:rPr>
      </w:pPr>
      <w:r>
        <w:rPr>
          <w:rFonts w:hAnsi="宋体"/>
          <w:b/>
          <w:bCs/>
        </w:rPr>
        <w:t xml:space="preserve"> </w:t>
      </w:r>
    </w:p>
    <w:p>
      <w:pPr>
        <w:spacing w:line="360" w:lineRule="auto"/>
        <w:rPr>
          <w:rFonts w:hAnsi="宋体"/>
          <w:b/>
          <w:bCs/>
          <w:sz w:val="30"/>
          <w:szCs w:val="30"/>
        </w:rPr>
      </w:pPr>
      <w:r>
        <w:rPr>
          <w:rFonts w:hint="eastAsia" w:ascii="宋体" w:hAnsi="宋体"/>
          <w:b/>
          <w:bCs/>
          <w:sz w:val="30"/>
          <w:szCs w:val="30"/>
        </w:rPr>
        <w:t>（六）金融理财从业人员职业生涯规划</w:t>
      </w:r>
    </w:p>
    <w:p>
      <w:pPr>
        <w:spacing w:line="360" w:lineRule="auto"/>
        <w:rPr>
          <w:rFonts w:hAnsi="宋体"/>
          <w:b/>
          <w:bCs/>
          <w:sz w:val="30"/>
          <w:szCs w:val="30"/>
        </w:rPr>
      </w:pPr>
      <w:r>
        <w:rPr>
          <w:rFonts w:hAnsi="宋体"/>
          <w:b/>
          <w:bCs/>
          <w:sz w:val="30"/>
          <w:szCs w:val="30"/>
        </w:rPr>
        <w:t>1</w:t>
      </w:r>
      <w:r>
        <w:rPr>
          <w:rFonts w:hint="eastAsia" w:ascii="宋体" w:hAnsi="宋体"/>
          <w:b/>
          <w:bCs/>
          <w:sz w:val="30"/>
          <w:szCs w:val="30"/>
        </w:rPr>
        <w:t>、想</w:t>
      </w:r>
      <w:bookmarkStart w:id="5" w:name="_Hlk502839387"/>
      <w:r>
        <w:rPr>
          <w:rFonts w:hint="eastAsia" w:ascii="宋体" w:hAnsi="宋体"/>
          <w:b/>
          <w:bCs/>
          <w:sz w:val="30"/>
          <w:szCs w:val="30"/>
        </w:rPr>
        <w:t>创业</w:t>
      </w:r>
      <w:bookmarkEnd w:id="5"/>
      <w:r>
        <w:rPr>
          <w:rFonts w:hint="eastAsia" w:ascii="宋体" w:hAnsi="宋体"/>
          <w:b/>
          <w:bCs/>
          <w:sz w:val="30"/>
          <w:szCs w:val="30"/>
        </w:rPr>
        <w:t>成立自己理财公司的比例</w:t>
      </w:r>
    </w:p>
    <w:p>
      <w:pPr>
        <w:spacing w:line="360" w:lineRule="auto"/>
        <w:jc w:val="center"/>
        <w:rPr>
          <w:rFonts w:hAnsi="宋体"/>
        </w:rPr>
      </w:pPr>
      <w:r>
        <w:pict>
          <v:shape id="_x0000_i1048" o:spt="75" type="#_x0000_t75" style="height:216pt;width:360pt;" filled="f" o:preferrelative="t" stroked="f" coordsize="21600,21600">
            <v:path/>
            <v:fill on="f" focussize="0,0"/>
            <v:stroke on="f" joinstyle="miter"/>
            <v:imagedata r:id="rId29"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25 </w:t>
      </w:r>
      <w:r>
        <w:rPr>
          <w:rFonts w:hint="eastAsia" w:ascii="宋体" w:hAnsi="宋体"/>
          <w:b/>
          <w:bCs/>
          <w:sz w:val="21"/>
          <w:szCs w:val="21"/>
        </w:rPr>
        <w:t>想创业成立自己理财公司的比例</w:t>
      </w:r>
    </w:p>
    <w:p>
      <w:pPr>
        <w:spacing w:line="360" w:lineRule="auto"/>
        <w:rPr>
          <w:rFonts w:hAnsi="宋体"/>
          <w:b/>
          <w:bCs/>
        </w:rPr>
      </w:pPr>
      <w:r>
        <w:rPr>
          <w:rFonts w:hAnsi="宋体"/>
          <w:b/>
          <w:bCs/>
          <w:sz w:val="30"/>
          <w:szCs w:val="30"/>
        </w:rPr>
        <w:t>2</w:t>
      </w:r>
      <w:r>
        <w:rPr>
          <w:rFonts w:hint="eastAsia" w:ascii="宋体" w:hAnsi="宋体"/>
          <w:b/>
          <w:bCs/>
          <w:sz w:val="30"/>
          <w:szCs w:val="30"/>
        </w:rPr>
        <w:t>、</w:t>
      </w:r>
      <w:bookmarkStart w:id="6" w:name="_Hlk502839538"/>
      <w:r>
        <w:rPr>
          <w:rFonts w:hint="eastAsia" w:ascii="宋体" w:hAnsi="宋体"/>
          <w:b/>
          <w:bCs/>
          <w:sz w:val="30"/>
          <w:szCs w:val="30"/>
        </w:rPr>
        <w:t>最合适自己的机构类型</w:t>
      </w:r>
      <w:bookmarkEnd w:id="6"/>
    </w:p>
    <w:p>
      <w:pPr>
        <w:spacing w:line="360" w:lineRule="auto"/>
        <w:jc w:val="center"/>
        <w:rPr>
          <w:rFonts w:hAnsi="宋体"/>
        </w:rPr>
      </w:pPr>
      <w:r>
        <w:pict>
          <v:shape id="_x0000_i1049" o:spt="75" type="#_x0000_t75" style="height:216.75pt;width:393pt;" filled="f" o:preferrelative="t" stroked="f" coordsize="21600,21600">
            <v:path/>
            <v:fill on="f" focussize="0,0"/>
            <v:stroke on="f" joinstyle="miter"/>
            <v:imagedata r:id="rId30" o:title=""/>
            <o:lock v:ext="edit" aspectratio="t"/>
            <w10:wrap type="none"/>
            <w10:anchorlock/>
          </v:shape>
        </w:pict>
      </w:r>
      <w:r>
        <w:rPr>
          <w:rFonts w:hAnsi="宋体"/>
        </w:rPr>
        <w:t xml:space="preserve"> </w:t>
      </w:r>
    </w:p>
    <w:p>
      <w:pPr>
        <w:spacing w:line="360" w:lineRule="auto"/>
        <w:rPr>
          <w:rFonts w:hAnsi="宋体"/>
          <w:b/>
          <w:bCs/>
          <w:sz w:val="30"/>
          <w:szCs w:val="30"/>
        </w:rPr>
      </w:pPr>
      <w:r>
        <w:rPr>
          <w:rFonts w:hAnsi="宋体"/>
          <w:b/>
          <w:bCs/>
          <w:sz w:val="30"/>
          <w:szCs w:val="30"/>
        </w:rPr>
        <w:t>3</w:t>
      </w:r>
      <w:r>
        <w:rPr>
          <w:rFonts w:hint="eastAsia" w:ascii="宋体" w:hAnsi="宋体"/>
          <w:b/>
          <w:bCs/>
          <w:sz w:val="30"/>
          <w:szCs w:val="30"/>
        </w:rPr>
        <w:t>、目前</w:t>
      </w:r>
      <w:bookmarkStart w:id="7" w:name="_Hlk502839413"/>
      <w:r>
        <w:rPr>
          <w:rFonts w:hint="eastAsia" w:ascii="宋体" w:hAnsi="宋体"/>
          <w:b/>
          <w:bCs/>
          <w:sz w:val="30"/>
          <w:szCs w:val="30"/>
        </w:rPr>
        <w:t>转行或转岗</w:t>
      </w:r>
      <w:bookmarkEnd w:id="7"/>
      <w:r>
        <w:rPr>
          <w:rFonts w:hint="eastAsia" w:ascii="宋体" w:hAnsi="宋体"/>
          <w:b/>
          <w:bCs/>
          <w:sz w:val="30"/>
          <w:szCs w:val="30"/>
        </w:rPr>
        <w:t>的态度是？</w:t>
      </w:r>
      <w:r>
        <w:rPr>
          <w:rFonts w:hAnsi="宋体"/>
          <w:b/>
          <w:bCs/>
          <w:sz w:val="30"/>
          <w:szCs w:val="30"/>
        </w:rPr>
        <w:t xml:space="preserve"> </w:t>
      </w:r>
    </w:p>
    <w:p>
      <w:pPr>
        <w:spacing w:line="360" w:lineRule="auto"/>
        <w:jc w:val="center"/>
        <w:rPr>
          <w:rFonts w:hAnsi="宋体"/>
        </w:rPr>
      </w:pPr>
      <w:r>
        <w:pict>
          <v:shape id="_x0000_i1050" o:spt="75" type="#_x0000_t75" style="height:216pt;width:360pt;" filled="f" o:preferrelative="t" stroked="f" coordsize="21600,21600">
            <v:path/>
            <v:fill on="f" focussize="0,0"/>
            <v:stroke on="f" joinstyle="miter"/>
            <v:imagedata r:id="rId31"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26 </w:t>
      </w:r>
      <w:r>
        <w:rPr>
          <w:rFonts w:hint="eastAsia" w:ascii="宋体" w:hAnsi="宋体"/>
          <w:b/>
          <w:bCs/>
          <w:sz w:val="21"/>
          <w:szCs w:val="21"/>
        </w:rPr>
        <w:t>目前转行或转岗的态度</w:t>
      </w:r>
    </w:p>
    <w:p>
      <w:pPr>
        <w:spacing w:line="360" w:lineRule="auto"/>
        <w:jc w:val="center"/>
        <w:rPr>
          <w:rFonts w:hAnsi="宋体"/>
          <w:b/>
          <w:bCs/>
          <w:sz w:val="21"/>
          <w:szCs w:val="21"/>
        </w:rPr>
      </w:pPr>
      <w:r>
        <w:rPr>
          <w:rFonts w:hAnsi="宋体"/>
          <w:b/>
          <w:bCs/>
          <w:sz w:val="21"/>
          <w:szCs w:val="21"/>
        </w:rPr>
        <w:t xml:space="preserve"> </w:t>
      </w:r>
    </w:p>
    <w:p>
      <w:pPr>
        <w:spacing w:line="360" w:lineRule="auto"/>
        <w:rPr>
          <w:rFonts w:hAnsi="宋体"/>
          <w:b/>
          <w:bCs/>
          <w:sz w:val="30"/>
          <w:szCs w:val="30"/>
        </w:rPr>
      </w:pPr>
      <w:r>
        <w:rPr>
          <w:rFonts w:hAnsi="宋体"/>
          <w:b/>
          <w:bCs/>
          <w:sz w:val="30"/>
          <w:szCs w:val="30"/>
        </w:rPr>
        <w:t>4</w:t>
      </w:r>
      <w:r>
        <w:rPr>
          <w:rFonts w:hint="eastAsia" w:ascii="宋体" w:hAnsi="宋体"/>
          <w:b/>
          <w:bCs/>
          <w:sz w:val="30"/>
          <w:szCs w:val="30"/>
        </w:rPr>
        <w:t>、自己更适合的收入模式</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通过数据分析发现，</w:t>
      </w:r>
      <w:r>
        <w:rPr>
          <w:rFonts w:ascii="宋体" w:hAnsi="宋体"/>
          <w:sz w:val="28"/>
          <w:szCs w:val="28"/>
        </w:rPr>
        <w:t>21.5%</w:t>
      </w:r>
      <w:r>
        <w:rPr>
          <w:rFonts w:hint="eastAsia" w:ascii="宋体" w:hAnsi="宋体"/>
          <w:sz w:val="28"/>
          <w:szCs w:val="28"/>
        </w:rPr>
        <w:t>的金融理财从业人员认为产品佣金是更适合自己收入模式。</w:t>
      </w:r>
    </w:p>
    <w:p>
      <w:pPr>
        <w:spacing w:line="360" w:lineRule="auto"/>
        <w:rPr>
          <w:rFonts w:hAnsi="宋体"/>
        </w:rPr>
      </w:pPr>
      <w:r>
        <w:pict>
          <v:shape id="_x0000_i1051" o:spt="75" type="#_x0000_t75" style="height:162pt;width:365.25pt;" filled="f" o:preferrelative="t" stroked="f" coordsize="21600,21600">
            <v:path/>
            <v:fill on="f" focussize="0,0"/>
            <v:stroke on="f" joinstyle="miter"/>
            <v:imagedata r:id="rId32" o:title=""/>
            <o:lock v:ext="edit" aspectratio="t"/>
            <w10:wrap type="none"/>
            <w10:anchorlock/>
          </v:shape>
        </w:pict>
      </w:r>
      <w:r>
        <w:rPr>
          <w:rFonts w:hAnsi="宋体"/>
        </w:rPr>
        <w:t xml:space="preserve"> </w:t>
      </w:r>
    </w:p>
    <w:p>
      <w:pPr>
        <w:spacing w:line="360" w:lineRule="auto"/>
        <w:ind w:firstLine="560"/>
        <w:rPr>
          <w:rFonts w:ascii="宋体"/>
          <w:sz w:val="28"/>
          <w:szCs w:val="28"/>
        </w:rPr>
      </w:pPr>
      <w:r>
        <w:rPr>
          <w:rFonts w:hint="eastAsia" w:ascii="宋体" w:hAnsi="宋体"/>
          <w:sz w:val="28"/>
          <w:szCs w:val="28"/>
        </w:rPr>
        <w:t>对</w:t>
      </w:r>
      <w:bookmarkStart w:id="8" w:name="_Hlk502839665"/>
      <w:r>
        <w:rPr>
          <w:rFonts w:hint="eastAsia" w:ascii="宋体" w:hAnsi="宋体"/>
          <w:sz w:val="28"/>
          <w:szCs w:val="28"/>
        </w:rPr>
        <w:t>创业、转行</w:t>
      </w:r>
      <w:bookmarkEnd w:id="8"/>
      <w:bookmarkStart w:id="9" w:name="_Hlk502839689"/>
      <w:bookmarkEnd w:id="9"/>
      <w:r>
        <w:rPr>
          <w:rFonts w:hint="eastAsia" w:ascii="宋体" w:hAnsi="宋体"/>
          <w:sz w:val="28"/>
          <w:szCs w:val="28"/>
        </w:rPr>
        <w:t>或转岗及最合适自己的机构类型，有</w:t>
      </w:r>
      <w:r>
        <w:rPr>
          <w:rFonts w:ascii="宋体" w:hAnsi="宋体"/>
          <w:sz w:val="28"/>
          <w:szCs w:val="28"/>
        </w:rPr>
        <w:t>66.5%</w:t>
      </w:r>
      <w:r>
        <w:rPr>
          <w:rFonts w:hint="eastAsia" w:ascii="宋体" w:hAnsi="宋体"/>
          <w:sz w:val="28"/>
          <w:szCs w:val="28"/>
        </w:rPr>
        <w:t>的人员没有选择，可见他们对创业、转行或转岗缺乏思想准备，对合适自己的机构类型不明确。</w:t>
      </w:r>
    </w:p>
    <w:p>
      <w:pPr>
        <w:spacing w:line="360" w:lineRule="auto"/>
        <w:rPr>
          <w:rFonts w:ascii="宋体"/>
          <w:b/>
          <w:bCs/>
          <w:sz w:val="28"/>
          <w:szCs w:val="28"/>
        </w:rPr>
      </w:pPr>
      <w:r>
        <w:rPr>
          <w:rFonts w:ascii="宋体" w:hAnsi="宋体"/>
          <w:b/>
          <w:bCs/>
          <w:sz w:val="28"/>
          <w:szCs w:val="28"/>
        </w:rPr>
        <w:t>5</w:t>
      </w:r>
      <w:r>
        <w:rPr>
          <w:rFonts w:hint="eastAsia" w:ascii="宋体" w:hAnsi="宋体"/>
          <w:b/>
          <w:bCs/>
          <w:sz w:val="28"/>
          <w:szCs w:val="28"/>
        </w:rPr>
        <w:t>、理财专业技能自信度</w:t>
      </w:r>
    </w:p>
    <w:p>
      <w:pPr>
        <w:spacing w:line="360" w:lineRule="auto"/>
        <w:rPr>
          <w:rFonts w:ascii="宋体"/>
          <w:b/>
          <w:bCs/>
          <w:sz w:val="28"/>
          <w:szCs w:val="28"/>
        </w:rPr>
      </w:pPr>
      <w:r>
        <w:rPr>
          <w:rFonts w:ascii="宋体" w:hAnsi="宋体"/>
          <w:sz w:val="28"/>
          <w:szCs w:val="28"/>
        </w:rPr>
        <w:t xml:space="preserve">    </w:t>
      </w:r>
      <w:r>
        <w:rPr>
          <w:rFonts w:hint="eastAsia" w:ascii="宋体" w:hAnsi="宋体"/>
          <w:sz w:val="28"/>
          <w:szCs w:val="28"/>
        </w:rPr>
        <w:t>在采集到的</w:t>
      </w:r>
      <w:r>
        <w:rPr>
          <w:rFonts w:ascii="宋体" w:hAnsi="宋体"/>
          <w:sz w:val="28"/>
          <w:szCs w:val="28"/>
        </w:rPr>
        <w:t>368</w:t>
      </w:r>
      <w:r>
        <w:rPr>
          <w:rFonts w:hint="eastAsia" w:ascii="宋体" w:hAnsi="宋体"/>
          <w:sz w:val="28"/>
          <w:szCs w:val="28"/>
        </w:rPr>
        <w:t>个样本中，有</w:t>
      </w:r>
      <w:r>
        <w:rPr>
          <w:rFonts w:ascii="宋体" w:hAnsi="宋体"/>
          <w:sz w:val="28"/>
          <w:szCs w:val="28"/>
        </w:rPr>
        <w:t>38.9%</w:t>
      </w:r>
      <w:r>
        <w:rPr>
          <w:rFonts w:hint="eastAsia" w:ascii="宋体" w:hAnsi="宋体"/>
          <w:sz w:val="28"/>
          <w:szCs w:val="28"/>
        </w:rPr>
        <w:t>的人对自己的专业技能很自信，大部分的从业人员（</w:t>
      </w:r>
      <w:r>
        <w:rPr>
          <w:rFonts w:ascii="宋体" w:hAnsi="宋体"/>
          <w:sz w:val="28"/>
          <w:szCs w:val="28"/>
        </w:rPr>
        <w:t>57.6%</w:t>
      </w:r>
      <w:r>
        <w:rPr>
          <w:rFonts w:hint="eastAsia" w:ascii="宋体" w:hAnsi="宋体"/>
          <w:sz w:val="28"/>
          <w:szCs w:val="28"/>
        </w:rPr>
        <w:t>）对自己理财专业技能自信度一般，</w:t>
      </w:r>
      <w:r>
        <w:rPr>
          <w:rFonts w:ascii="宋体" w:hAnsi="宋体"/>
          <w:sz w:val="28"/>
          <w:szCs w:val="28"/>
        </w:rPr>
        <w:t>3.5%</w:t>
      </w:r>
      <w:r>
        <w:rPr>
          <w:rFonts w:hint="eastAsia" w:ascii="宋体" w:hAnsi="宋体"/>
          <w:sz w:val="28"/>
          <w:szCs w:val="28"/>
        </w:rPr>
        <w:t>的人缺乏自信，说明上海金融理财从业人员对自己的理财专业技能不够自信。</w:t>
      </w:r>
    </w:p>
    <w:p>
      <w:pPr>
        <w:spacing w:line="360" w:lineRule="auto"/>
        <w:jc w:val="center"/>
        <w:rPr>
          <w:rFonts w:hAnsi="宋体"/>
        </w:rPr>
      </w:pPr>
      <w:r>
        <w:pict>
          <v:shape id="_x0000_i1052" o:spt="75" type="#_x0000_t75" style="height:160.5pt;width:275.25pt;" filled="f" o:preferrelative="t" stroked="f" coordsize="21600,21600">
            <v:path/>
            <v:fill on="f" focussize="0,0"/>
            <v:stroke on="f" joinstyle="miter"/>
            <v:imagedata r:id="rId33" o:title=""/>
            <o:lock v:ext="edit" aspectratio="t"/>
            <w10:wrap type="none"/>
            <w10:anchorlock/>
          </v:shape>
        </w:pict>
      </w:r>
      <w:r>
        <w:rPr>
          <w:rFonts w:hAnsi="宋体"/>
        </w:rPr>
        <w:t xml:space="preserve"> </w:t>
      </w:r>
    </w:p>
    <w:p>
      <w:pPr>
        <w:spacing w:line="360" w:lineRule="auto"/>
        <w:jc w:val="center"/>
        <w:rPr>
          <w:rFonts w:hAnsi="宋体"/>
          <w:b/>
          <w:bCs/>
          <w:sz w:val="21"/>
          <w:szCs w:val="21"/>
        </w:rPr>
      </w:pPr>
      <w:r>
        <w:rPr>
          <w:rFonts w:hint="eastAsia" w:ascii="宋体" w:hAnsi="宋体"/>
          <w:b/>
          <w:bCs/>
          <w:sz w:val="21"/>
          <w:szCs w:val="21"/>
        </w:rPr>
        <w:t>图</w:t>
      </w:r>
      <w:r>
        <w:rPr>
          <w:rFonts w:hAnsi="宋体"/>
          <w:b/>
          <w:bCs/>
          <w:sz w:val="21"/>
          <w:szCs w:val="21"/>
        </w:rPr>
        <w:t xml:space="preserve">27 </w:t>
      </w:r>
      <w:r>
        <w:rPr>
          <w:rFonts w:hint="eastAsia" w:ascii="宋体" w:hAnsi="宋体"/>
          <w:b/>
          <w:bCs/>
          <w:sz w:val="21"/>
          <w:szCs w:val="21"/>
        </w:rPr>
        <w:t>理财专业技能自信度</w:t>
      </w:r>
    </w:p>
    <w:p>
      <w:pPr>
        <w:spacing w:line="360" w:lineRule="auto"/>
        <w:jc w:val="center"/>
        <w:rPr>
          <w:rFonts w:hAnsi="宋体"/>
          <w:b/>
          <w:bCs/>
          <w:sz w:val="21"/>
          <w:szCs w:val="21"/>
        </w:rPr>
      </w:pPr>
      <w:r>
        <w:rPr>
          <w:rFonts w:hAnsi="宋体"/>
          <w:b/>
          <w:bCs/>
          <w:sz w:val="21"/>
          <w:szCs w:val="21"/>
        </w:rPr>
        <w:t xml:space="preserve"> </w:t>
      </w:r>
    </w:p>
    <w:p>
      <w:pPr>
        <w:spacing w:line="360" w:lineRule="auto"/>
        <w:rPr>
          <w:rFonts w:ascii="宋体"/>
          <w:b/>
          <w:bCs/>
          <w:sz w:val="28"/>
          <w:szCs w:val="28"/>
        </w:rPr>
      </w:pPr>
      <w:r>
        <w:rPr>
          <w:rFonts w:ascii="宋体" w:hAnsi="宋体"/>
          <w:b/>
          <w:bCs/>
          <w:sz w:val="28"/>
          <w:szCs w:val="28"/>
        </w:rPr>
        <w:t>6</w:t>
      </w:r>
      <w:r>
        <w:rPr>
          <w:rFonts w:hint="eastAsia" w:ascii="宋体" w:hAnsi="宋体"/>
          <w:b/>
          <w:bCs/>
          <w:sz w:val="28"/>
          <w:szCs w:val="28"/>
        </w:rPr>
        <w:t>、自费寻求受雇机构外的专业培训比例</w:t>
      </w:r>
    </w:p>
    <w:p>
      <w:pPr>
        <w:spacing w:line="360" w:lineRule="auto"/>
        <w:rPr>
          <w:rFonts w:ascii="宋体"/>
          <w:sz w:val="28"/>
          <w:szCs w:val="28"/>
        </w:rPr>
      </w:pPr>
      <w:r>
        <w:rPr>
          <w:rFonts w:ascii="宋体" w:hAnsi="宋体"/>
          <w:sz w:val="28"/>
          <w:szCs w:val="28"/>
        </w:rPr>
        <w:t xml:space="preserve">    82.4%</w:t>
      </w:r>
      <w:r>
        <w:rPr>
          <w:rFonts w:hint="eastAsia" w:ascii="宋体" w:hAnsi="宋体"/>
          <w:sz w:val="28"/>
          <w:szCs w:val="28"/>
        </w:rPr>
        <w:t>的金融理财专业人员不会自费寻求受雇机构外的专业培训。</w:t>
      </w:r>
    </w:p>
    <w:p>
      <w:pPr>
        <w:spacing w:line="360" w:lineRule="auto"/>
        <w:jc w:val="center"/>
        <w:rPr>
          <w:rFonts w:hAnsi="宋体"/>
        </w:rPr>
      </w:pPr>
      <w:r>
        <w:pict>
          <v:shape id="_x0000_i1053" o:spt="75" type="#_x0000_t75" style="height:160.5pt;width:275.25pt;" filled="f" o:preferrelative="t" stroked="f" coordsize="21600,21600">
            <v:path/>
            <v:fill on="f" focussize="0,0"/>
            <v:stroke on="f" joinstyle="miter"/>
            <v:imagedata r:id="rId34" o:title=""/>
            <o:lock v:ext="edit" aspectratio="t"/>
            <w10:wrap type="none"/>
            <w10:anchorlock/>
          </v:shape>
        </w:pict>
      </w:r>
      <w:r>
        <w:rPr>
          <w:rFonts w:hAnsi="宋体"/>
        </w:rPr>
        <w:t xml:space="preserve"> </w:t>
      </w:r>
    </w:p>
    <w:p>
      <w:pPr>
        <w:spacing w:line="360" w:lineRule="auto"/>
        <w:jc w:val="center"/>
        <w:rPr>
          <w:rFonts w:ascii="宋体"/>
          <w:b/>
          <w:bCs/>
          <w:sz w:val="28"/>
          <w:szCs w:val="28"/>
        </w:rPr>
      </w:pPr>
      <w:r>
        <w:rPr>
          <w:rFonts w:hint="eastAsia" w:ascii="宋体" w:hAnsi="宋体"/>
          <w:b/>
          <w:bCs/>
          <w:sz w:val="21"/>
          <w:szCs w:val="21"/>
        </w:rPr>
        <w:t>图</w:t>
      </w:r>
      <w:r>
        <w:rPr>
          <w:rFonts w:hAnsi="宋体"/>
          <w:b/>
          <w:bCs/>
          <w:sz w:val="21"/>
          <w:szCs w:val="21"/>
        </w:rPr>
        <w:t>28</w:t>
      </w:r>
      <w:r>
        <w:rPr>
          <w:rFonts w:hint="eastAsia" w:ascii="宋体" w:hAnsi="宋体"/>
          <w:b/>
          <w:bCs/>
          <w:sz w:val="21"/>
          <w:szCs w:val="21"/>
        </w:rPr>
        <w:t>自费寻求受雇机构外的专业培训比例</w:t>
      </w:r>
    </w:p>
    <w:p>
      <w:pPr>
        <w:spacing w:line="360" w:lineRule="auto"/>
        <w:rPr>
          <w:rFonts w:ascii="宋体"/>
          <w:b/>
          <w:bCs/>
          <w:sz w:val="28"/>
          <w:szCs w:val="28"/>
        </w:rPr>
      </w:pPr>
      <w:r>
        <w:rPr>
          <w:rFonts w:ascii="宋体" w:hAnsi="宋体"/>
          <w:b/>
          <w:bCs/>
          <w:sz w:val="28"/>
          <w:szCs w:val="28"/>
        </w:rPr>
        <w:t xml:space="preserve"> </w:t>
      </w:r>
    </w:p>
    <w:p>
      <w:pPr>
        <w:spacing w:line="360" w:lineRule="auto"/>
        <w:rPr>
          <w:rFonts w:ascii="宋体"/>
          <w:b/>
          <w:bCs/>
          <w:sz w:val="28"/>
          <w:szCs w:val="28"/>
        </w:rPr>
      </w:pPr>
      <w:r>
        <w:rPr>
          <w:rFonts w:ascii="宋体" w:hAnsi="宋体"/>
          <w:b/>
          <w:bCs/>
          <w:sz w:val="28"/>
          <w:szCs w:val="28"/>
        </w:rPr>
        <w:t>7</w:t>
      </w:r>
      <w:r>
        <w:rPr>
          <w:rFonts w:hint="eastAsia" w:ascii="宋体" w:hAnsi="宋体"/>
          <w:b/>
          <w:bCs/>
          <w:sz w:val="28"/>
          <w:szCs w:val="28"/>
        </w:rPr>
        <w:t>、有效的学习方式有？</w:t>
      </w:r>
      <w:r>
        <w:rPr>
          <w:rFonts w:ascii="宋体" w:hAnsi="宋体"/>
          <w:b/>
          <w:bCs/>
          <w:sz w:val="28"/>
          <w:szCs w:val="28"/>
        </w:rPr>
        <w:t xml:space="preserve"> </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金融理财从业人员比较青睐于“现场集中式专题培训”、“系统性的执照考试学习”以及“专业财富管理线上学习平台”的学习形式。</w:t>
      </w:r>
    </w:p>
    <w:p>
      <w:pPr>
        <w:spacing w:line="360" w:lineRule="auto"/>
        <w:rPr>
          <w:rFonts w:hAnsi="宋体"/>
        </w:rPr>
      </w:pPr>
      <w:r>
        <w:pict>
          <v:shape id="_x0000_i1054" o:spt="75" type="#_x0000_t75" style="height:162pt;width:365.25pt;" filled="f" o:preferrelative="t" stroked="f" coordsize="21600,21600">
            <v:path/>
            <v:fill on="f" focussize="0,0"/>
            <v:stroke on="f" joinstyle="miter"/>
            <v:imagedata r:id="rId35" o:title=""/>
            <o:lock v:ext="edit" aspectratio="t"/>
            <w10:wrap type="none"/>
            <w10:anchorlock/>
          </v:shape>
        </w:pict>
      </w:r>
      <w:r>
        <w:rPr>
          <w:rFonts w:hAnsi="宋体"/>
        </w:rPr>
        <w:t xml:space="preserve"> </w:t>
      </w:r>
    </w:p>
    <w:p>
      <w:pPr>
        <w:spacing w:line="360" w:lineRule="auto"/>
        <w:rPr>
          <w:rFonts w:ascii="宋体"/>
          <w:b/>
          <w:bCs/>
          <w:sz w:val="28"/>
          <w:szCs w:val="28"/>
        </w:rPr>
      </w:pPr>
      <w:r>
        <w:rPr>
          <w:rFonts w:ascii="宋体" w:hAnsi="宋体"/>
          <w:b/>
          <w:bCs/>
          <w:sz w:val="28"/>
          <w:szCs w:val="28"/>
        </w:rPr>
        <w:t>8</w:t>
      </w:r>
      <w:r>
        <w:rPr>
          <w:rFonts w:hint="eastAsia" w:ascii="宋体" w:hAnsi="宋体"/>
          <w:b/>
          <w:bCs/>
          <w:sz w:val="28"/>
          <w:szCs w:val="28"/>
        </w:rPr>
        <w:t>、期望获得的专业能力有？</w:t>
      </w:r>
      <w:r>
        <w:rPr>
          <w:rFonts w:ascii="宋体" w:hAnsi="宋体"/>
          <w:b/>
          <w:bCs/>
          <w:sz w:val="28"/>
          <w:szCs w:val="28"/>
        </w:rPr>
        <w:t xml:space="preserve"> </w:t>
      </w:r>
    </w:p>
    <w:p>
      <w:pPr>
        <w:spacing w:line="360" w:lineRule="auto"/>
        <w:rPr>
          <w:rFonts w:hAnsi="宋体"/>
        </w:rPr>
      </w:pPr>
      <w:r>
        <w:rPr>
          <w:rFonts w:ascii="宋体" w:hAnsi="宋体"/>
          <w:sz w:val="28"/>
          <w:szCs w:val="28"/>
        </w:rPr>
        <w:t xml:space="preserve">    </w:t>
      </w:r>
      <w:r>
        <w:rPr>
          <w:rFonts w:hint="eastAsia" w:ascii="宋体" w:hAnsi="宋体"/>
          <w:sz w:val="28"/>
          <w:szCs w:val="28"/>
        </w:rPr>
        <w:t>从采集到的数据来看，金融理财从业人员最期望获得的专业能力是金融产品分析判断能力，其次是家庭理财规划架构能力和客户常见法律税务建议能力。</w:t>
      </w:r>
    </w:p>
    <w:p>
      <w:pPr>
        <w:spacing w:line="360" w:lineRule="auto"/>
        <w:jc w:val="center"/>
        <w:rPr>
          <w:rFonts w:hAnsi="宋体"/>
        </w:rPr>
      </w:pPr>
      <w:r>
        <w:pict>
          <v:shape id="_x0000_i1055" o:spt="75" type="#_x0000_t75" style="height:162pt;width:365.25pt;" filled="f" o:preferrelative="t" stroked="f" coordsize="21600,21600">
            <v:path/>
            <v:fill on="f" focussize="0,0"/>
            <v:stroke on="f" joinstyle="miter"/>
            <v:imagedata r:id="rId36" o:title=""/>
            <o:lock v:ext="edit" aspectratio="t"/>
            <w10:wrap type="none"/>
            <w10:anchorlock/>
          </v:shape>
        </w:pict>
      </w:r>
      <w:r>
        <w:rPr>
          <w:rFonts w:hAnsi="宋体"/>
        </w:rPr>
        <w:t xml:space="preserve"> </w:t>
      </w:r>
    </w:p>
    <w:p>
      <w:pPr>
        <w:spacing w:line="360" w:lineRule="auto"/>
        <w:jc w:val="left"/>
        <w:rPr>
          <w:rFonts w:hAnsi="宋体"/>
          <w:b/>
          <w:bCs/>
          <w:sz w:val="30"/>
          <w:szCs w:val="30"/>
        </w:rPr>
      </w:pPr>
      <w:r>
        <w:rPr>
          <w:rFonts w:hAnsi="宋体"/>
          <w:b/>
          <w:bCs/>
          <w:sz w:val="30"/>
          <w:szCs w:val="30"/>
        </w:rPr>
        <w:t xml:space="preserve"> </w:t>
      </w:r>
    </w:p>
    <w:p>
      <w:pPr>
        <w:spacing w:line="360" w:lineRule="auto"/>
        <w:jc w:val="left"/>
        <w:rPr>
          <w:rFonts w:hAnsi="宋体"/>
          <w:b/>
          <w:bCs/>
          <w:sz w:val="30"/>
          <w:szCs w:val="30"/>
        </w:rPr>
      </w:pPr>
      <w:r>
        <w:rPr>
          <w:rFonts w:hint="eastAsia" w:ascii="宋体" w:hAnsi="宋体"/>
          <w:b/>
          <w:bCs/>
          <w:sz w:val="30"/>
          <w:szCs w:val="30"/>
        </w:rPr>
        <w:t>（七）</w:t>
      </w:r>
      <w:bookmarkStart w:id="10" w:name="_Hlk502840853"/>
      <w:r>
        <w:rPr>
          <w:rFonts w:hint="eastAsia" w:ascii="宋体" w:hAnsi="宋体"/>
          <w:b/>
          <w:bCs/>
          <w:sz w:val="30"/>
          <w:szCs w:val="30"/>
        </w:rPr>
        <w:t>金融理财行业发展态势</w:t>
      </w:r>
      <w:bookmarkEnd w:id="10"/>
    </w:p>
    <w:p>
      <w:pPr>
        <w:spacing w:line="360" w:lineRule="auto"/>
        <w:rPr>
          <w:rFonts w:ascii="宋体"/>
          <w:b/>
          <w:bCs/>
          <w:sz w:val="28"/>
          <w:szCs w:val="28"/>
        </w:rPr>
      </w:pPr>
      <w:r>
        <w:rPr>
          <w:rFonts w:ascii="宋体" w:hAnsi="宋体"/>
          <w:b/>
          <w:bCs/>
          <w:sz w:val="28"/>
          <w:szCs w:val="28"/>
        </w:rPr>
        <w:t>1</w:t>
      </w:r>
      <w:r>
        <w:rPr>
          <w:rFonts w:hint="eastAsia" w:ascii="宋体" w:hAnsi="宋体"/>
          <w:b/>
          <w:bCs/>
          <w:sz w:val="28"/>
          <w:szCs w:val="28"/>
        </w:rPr>
        <w:t>、理财行业监管情况</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超半数的金融理财从业人员认为目前理财行业监管已比较到位，但也有约三分之一的金融理财从业人员认为目前理财行业</w:t>
      </w:r>
      <w:bookmarkStart w:id="11" w:name="_Hlk502840988"/>
      <w:r>
        <w:rPr>
          <w:rFonts w:hint="eastAsia" w:ascii="宋体" w:hAnsi="宋体"/>
          <w:sz w:val="28"/>
          <w:szCs w:val="28"/>
        </w:rPr>
        <w:t>缺乏对机构的监管。</w:t>
      </w:r>
      <w:bookmarkEnd w:id="11"/>
    </w:p>
    <w:p>
      <w:pPr>
        <w:spacing w:line="360" w:lineRule="auto"/>
        <w:jc w:val="center"/>
        <w:rPr>
          <w:rFonts w:hAnsi="宋体"/>
        </w:rPr>
      </w:pPr>
      <w:r>
        <w:pict>
          <v:shape id="_x0000_i1056" o:spt="75" type="#_x0000_t75" style="height:126pt;width:365.25pt;" filled="f" o:preferrelative="t" stroked="f" coordsize="21600,21600">
            <v:path/>
            <v:fill on="f" focussize="0,0"/>
            <v:stroke on="f" joinstyle="miter"/>
            <v:imagedata r:id="rId37" o:title=""/>
            <o:lock v:ext="edit" aspectratio="t"/>
            <w10:wrap type="none"/>
            <w10:anchorlock/>
          </v:shape>
        </w:pict>
      </w:r>
      <w:r>
        <w:rPr>
          <w:rFonts w:hAnsi="宋体"/>
        </w:rPr>
        <w:t xml:space="preserve"> </w:t>
      </w:r>
    </w:p>
    <w:p>
      <w:pPr>
        <w:spacing w:line="360" w:lineRule="auto"/>
        <w:rPr>
          <w:rFonts w:ascii="宋体"/>
          <w:b/>
          <w:bCs/>
          <w:sz w:val="28"/>
          <w:szCs w:val="28"/>
        </w:rPr>
      </w:pPr>
      <w:r>
        <w:rPr>
          <w:rFonts w:ascii="宋体" w:hAnsi="宋体"/>
          <w:b/>
          <w:bCs/>
          <w:sz w:val="28"/>
          <w:szCs w:val="28"/>
        </w:rPr>
        <w:t>2</w:t>
      </w:r>
      <w:r>
        <w:rPr>
          <w:rFonts w:hint="eastAsia" w:ascii="宋体" w:hAnsi="宋体"/>
          <w:b/>
          <w:bCs/>
          <w:sz w:val="28"/>
          <w:szCs w:val="28"/>
        </w:rPr>
        <w:t>、需要加强监管的方向是？</w:t>
      </w:r>
      <w:r>
        <w:rPr>
          <w:rFonts w:ascii="宋体" w:hAnsi="宋体"/>
          <w:b/>
          <w:bCs/>
          <w:sz w:val="28"/>
          <w:szCs w:val="28"/>
        </w:rPr>
        <w:t xml:space="preserve"> </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从金融理财从业人员的角度来看，他们认为未来行业需要加强监管的方向主要是行业自律组织建设（</w:t>
      </w:r>
      <w:r>
        <w:rPr>
          <w:rFonts w:ascii="宋体" w:hAnsi="宋体"/>
          <w:sz w:val="28"/>
          <w:szCs w:val="28"/>
        </w:rPr>
        <w:t>53.5%</w:t>
      </w:r>
      <w:r>
        <w:rPr>
          <w:rFonts w:hint="eastAsia" w:ascii="宋体" w:hAnsi="宋体"/>
          <w:sz w:val="28"/>
          <w:szCs w:val="28"/>
        </w:rPr>
        <w:t>）及理财师从业资格准入管理（</w:t>
      </w:r>
      <w:r>
        <w:rPr>
          <w:rFonts w:ascii="宋体" w:hAnsi="宋体"/>
          <w:sz w:val="28"/>
          <w:szCs w:val="28"/>
        </w:rPr>
        <w:t>53.3%</w:t>
      </w:r>
      <w:r>
        <w:rPr>
          <w:rFonts w:hint="eastAsia" w:ascii="宋体" w:hAnsi="宋体"/>
          <w:sz w:val="28"/>
          <w:szCs w:val="28"/>
        </w:rPr>
        <w:t>）。</w:t>
      </w:r>
    </w:p>
    <w:p>
      <w:pPr>
        <w:spacing w:line="360" w:lineRule="auto"/>
        <w:jc w:val="center"/>
        <w:rPr>
          <w:rFonts w:hAnsi="宋体"/>
        </w:rPr>
      </w:pPr>
      <w:r>
        <w:pict>
          <v:shape id="_x0000_i1057" o:spt="75" type="#_x0000_t75" style="height:156pt;width:365.25pt;" filled="f" o:preferrelative="t" stroked="f" coordsize="21600,21600">
            <v:path/>
            <v:fill on="f" focussize="0,0"/>
            <v:stroke on="f" joinstyle="miter"/>
            <v:imagedata r:id="rId38" o:title=""/>
            <o:lock v:ext="edit" aspectratio="t"/>
            <w10:wrap type="none"/>
            <w10:anchorlock/>
          </v:shape>
        </w:pict>
      </w:r>
      <w:r>
        <w:rPr>
          <w:rFonts w:hAnsi="宋体"/>
        </w:rPr>
        <w:t xml:space="preserve"> </w:t>
      </w:r>
    </w:p>
    <w:p>
      <w:pPr>
        <w:spacing w:line="360" w:lineRule="auto"/>
        <w:rPr>
          <w:rFonts w:ascii="宋体"/>
          <w:b/>
          <w:bCs/>
          <w:sz w:val="28"/>
          <w:szCs w:val="28"/>
        </w:rPr>
      </w:pPr>
      <w:r>
        <w:rPr>
          <w:rFonts w:ascii="宋体" w:hAnsi="宋体"/>
          <w:b/>
          <w:bCs/>
          <w:sz w:val="28"/>
          <w:szCs w:val="28"/>
        </w:rPr>
        <w:t xml:space="preserve"> </w:t>
      </w:r>
    </w:p>
    <w:p>
      <w:pPr>
        <w:spacing w:line="360" w:lineRule="auto"/>
        <w:rPr>
          <w:rFonts w:ascii="宋体"/>
          <w:b/>
          <w:bCs/>
          <w:sz w:val="28"/>
          <w:szCs w:val="28"/>
        </w:rPr>
      </w:pPr>
      <w:r>
        <w:rPr>
          <w:rFonts w:ascii="宋体" w:hAnsi="宋体"/>
          <w:b/>
          <w:bCs/>
          <w:sz w:val="28"/>
          <w:szCs w:val="28"/>
        </w:rPr>
        <w:t>3</w:t>
      </w:r>
      <w:r>
        <w:rPr>
          <w:rFonts w:hint="eastAsia" w:ascii="宋体" w:hAnsi="宋体"/>
          <w:b/>
          <w:bCs/>
          <w:sz w:val="28"/>
          <w:szCs w:val="28"/>
        </w:rPr>
        <w:t>、智能投顾发展前景</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关于智能投顾的发展前景，金融理财从业人员也表达了自己的看法，多数人认为智能投顾不能替代理财师，智能投顾会在中产阶级标准化产品方面做得更好，但高净值客户私募产品方面无法替代。</w:t>
      </w:r>
    </w:p>
    <w:p>
      <w:pPr>
        <w:spacing w:line="360" w:lineRule="auto"/>
        <w:rPr>
          <w:rFonts w:ascii="宋体"/>
          <w:sz w:val="28"/>
          <w:szCs w:val="28"/>
        </w:rPr>
      </w:pPr>
      <w:r>
        <w:rPr>
          <w:rFonts w:ascii="宋体" w:hAnsi="宋体"/>
          <w:sz w:val="28"/>
          <w:szCs w:val="28"/>
        </w:rPr>
        <w:t xml:space="preserve"> </w:t>
      </w:r>
    </w:p>
    <w:tbl>
      <w:tblPr>
        <w:tblStyle w:val="9"/>
        <w:tblW w:w="8115" w:type="dxa"/>
        <w:jc w:val="center"/>
        <w:tblInd w:w="0" w:type="dxa"/>
        <w:tblLayout w:type="fixed"/>
        <w:tblCellMar>
          <w:top w:w="0" w:type="dxa"/>
          <w:left w:w="108" w:type="dxa"/>
          <w:bottom w:w="0" w:type="dxa"/>
          <w:right w:w="108" w:type="dxa"/>
        </w:tblCellMar>
      </w:tblPr>
      <w:tblGrid>
        <w:gridCol w:w="5955"/>
        <w:gridCol w:w="1080"/>
        <w:gridCol w:w="1080"/>
      </w:tblGrid>
      <w:tr>
        <w:tblPrEx>
          <w:tblLayout w:type="fixed"/>
          <w:tblCellMar>
            <w:top w:w="0" w:type="dxa"/>
            <w:left w:w="108" w:type="dxa"/>
            <w:bottom w:w="0" w:type="dxa"/>
            <w:right w:w="108" w:type="dxa"/>
          </w:tblCellMar>
        </w:tblPrEx>
        <w:trPr>
          <w:trHeight w:val="450" w:hRule="atLeast"/>
          <w:jc w:val="center"/>
        </w:trPr>
        <w:tc>
          <w:tcPr>
            <w:tcW w:w="59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Arial" w:eastAsia="Times New Roman"/>
                <w:b/>
                <w:bCs/>
                <w:color w:val="000000"/>
                <w:sz w:val="18"/>
                <w:szCs w:val="18"/>
              </w:rPr>
            </w:pPr>
            <w:r>
              <w:rPr>
                <w:rFonts w:hint="eastAsia" w:ascii="宋体" w:hAnsi="宋体"/>
                <w:b/>
                <w:bCs/>
                <w:color w:val="000000"/>
                <w:sz w:val="18"/>
                <w:szCs w:val="18"/>
              </w:rPr>
              <w:t>发展前景</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b/>
                <w:bCs/>
                <w:color w:val="000000"/>
                <w:sz w:val="18"/>
                <w:szCs w:val="18"/>
              </w:rPr>
            </w:pPr>
            <w:r>
              <w:rPr>
                <w:rFonts w:hint="eastAsia" w:ascii="Arial" w:hAnsi="宋体"/>
                <w:b/>
                <w:bCs/>
                <w:color w:val="000000"/>
                <w:sz w:val="18"/>
                <w:szCs w:val="18"/>
              </w:rPr>
              <w:t>频率</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b/>
                <w:bCs/>
                <w:color w:val="000000"/>
                <w:sz w:val="18"/>
                <w:szCs w:val="18"/>
              </w:rPr>
            </w:pPr>
            <w:r>
              <w:rPr>
                <w:rFonts w:hint="eastAsia" w:ascii="Arial" w:hAnsi="宋体"/>
                <w:b/>
                <w:bCs/>
                <w:color w:val="000000"/>
                <w:sz w:val="18"/>
                <w:szCs w:val="18"/>
              </w:rPr>
              <w:t>百分比</w:t>
            </w:r>
          </w:p>
        </w:tc>
      </w:tr>
      <w:tr>
        <w:tblPrEx>
          <w:tblLayout w:type="fixed"/>
          <w:tblCellMar>
            <w:top w:w="0" w:type="dxa"/>
            <w:left w:w="108" w:type="dxa"/>
            <w:bottom w:w="0" w:type="dxa"/>
            <w:right w:w="108" w:type="dxa"/>
          </w:tblCellMar>
        </w:tblPrEx>
        <w:trPr>
          <w:trHeight w:val="450" w:hRule="atLeast"/>
          <w:jc w:val="center"/>
        </w:trPr>
        <w:tc>
          <w:tcPr>
            <w:tcW w:w="5955" w:type="dxa"/>
            <w:tcBorders>
              <w:top w:val="single" w:color="000000" w:sz="4" w:space="0"/>
              <w:left w:val="single" w:color="000000" w:sz="4" w:space="0"/>
              <w:bottom w:val="single" w:color="000000" w:sz="4" w:space="0"/>
              <w:right w:val="single" w:color="000000" w:sz="4" w:space="0"/>
            </w:tcBorders>
            <w:vAlign w:val="center"/>
          </w:tcPr>
          <w:p>
            <w:pPr>
              <w:rPr>
                <w:rFonts w:ascii="Arial" w:hAnsi="Arial"/>
                <w:color w:val="000000"/>
                <w:sz w:val="18"/>
                <w:szCs w:val="18"/>
              </w:rPr>
            </w:pPr>
            <w:r>
              <w:rPr>
                <w:rFonts w:hint="eastAsia" w:ascii="宋体" w:hAnsi="宋体"/>
                <w:color w:val="000000"/>
                <w:sz w:val="18"/>
                <w:szCs w:val="18"/>
              </w:rPr>
              <w:t>目前尚在初级阶段，不必过分担心</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84</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5.3</w:t>
            </w:r>
          </w:p>
        </w:tc>
      </w:tr>
      <w:tr>
        <w:tblPrEx>
          <w:tblLayout w:type="fixed"/>
          <w:tblCellMar>
            <w:top w:w="0" w:type="dxa"/>
            <w:left w:w="108" w:type="dxa"/>
            <w:bottom w:w="0" w:type="dxa"/>
            <w:right w:w="108" w:type="dxa"/>
          </w:tblCellMar>
        </w:tblPrEx>
        <w:trPr>
          <w:trHeight w:val="450" w:hRule="atLeast"/>
          <w:jc w:val="center"/>
        </w:trPr>
        <w:tc>
          <w:tcPr>
            <w:tcW w:w="5955" w:type="dxa"/>
            <w:tcBorders>
              <w:top w:val="single" w:color="000000" w:sz="4" w:space="0"/>
              <w:left w:val="single" w:color="000000" w:sz="4" w:space="0"/>
              <w:bottom w:val="single" w:color="000000" w:sz="4" w:space="0"/>
              <w:right w:val="single" w:color="000000" w:sz="4" w:space="0"/>
            </w:tcBorders>
            <w:vAlign w:val="center"/>
          </w:tcPr>
          <w:p>
            <w:pPr>
              <w:rPr>
                <w:rFonts w:ascii="Arial" w:hAnsi="Arial"/>
                <w:color w:val="000000"/>
                <w:sz w:val="18"/>
                <w:szCs w:val="18"/>
              </w:rPr>
            </w:pPr>
            <w:r>
              <w:rPr>
                <w:rFonts w:hint="eastAsia" w:ascii="宋体" w:hAnsi="宋体"/>
                <w:color w:val="000000"/>
                <w:sz w:val="18"/>
                <w:szCs w:val="18"/>
              </w:rPr>
              <w:t>虽然尚在发展中，但肯定会取代理财师</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77</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4.9</w:t>
            </w:r>
          </w:p>
        </w:tc>
      </w:tr>
      <w:tr>
        <w:tblPrEx>
          <w:tblLayout w:type="fixed"/>
          <w:tblCellMar>
            <w:top w:w="0" w:type="dxa"/>
            <w:left w:w="108" w:type="dxa"/>
            <w:bottom w:w="0" w:type="dxa"/>
            <w:right w:w="108" w:type="dxa"/>
          </w:tblCellMar>
        </w:tblPrEx>
        <w:trPr>
          <w:trHeight w:val="609" w:hRule="atLeast"/>
          <w:jc w:val="center"/>
        </w:trPr>
        <w:tc>
          <w:tcPr>
            <w:tcW w:w="5955" w:type="dxa"/>
            <w:tcBorders>
              <w:top w:val="single" w:color="000000" w:sz="4" w:space="0"/>
              <w:left w:val="single" w:color="000000" w:sz="4" w:space="0"/>
              <w:bottom w:val="single" w:color="000000" w:sz="4" w:space="0"/>
              <w:right w:val="single" w:color="000000" w:sz="4" w:space="0"/>
            </w:tcBorders>
            <w:vAlign w:val="center"/>
          </w:tcPr>
          <w:p>
            <w:pPr>
              <w:rPr>
                <w:rFonts w:ascii="Arial" w:hAnsi="Arial"/>
                <w:color w:val="000000"/>
                <w:sz w:val="18"/>
                <w:szCs w:val="18"/>
              </w:rPr>
            </w:pPr>
            <w:r>
              <w:rPr>
                <w:rFonts w:hint="eastAsia" w:ascii="宋体" w:hAnsi="宋体"/>
                <w:color w:val="000000"/>
                <w:sz w:val="18"/>
                <w:szCs w:val="18"/>
              </w:rPr>
              <w:t>智能投顾会先于国外（美国）收到成效，但在国内会经历兴起</w:t>
            </w:r>
            <w:r>
              <w:rPr>
                <w:rFonts w:ascii="Arial" w:hAnsi="Arial"/>
                <w:color w:val="000000"/>
                <w:sz w:val="18"/>
                <w:szCs w:val="18"/>
              </w:rPr>
              <w:t>-</w:t>
            </w:r>
            <w:r>
              <w:rPr>
                <w:rFonts w:hint="eastAsia" w:ascii="宋体" w:hAnsi="宋体"/>
                <w:color w:val="000000"/>
                <w:sz w:val="18"/>
                <w:szCs w:val="18"/>
              </w:rPr>
              <w:t>破败</w:t>
            </w:r>
            <w:r>
              <w:rPr>
                <w:rFonts w:ascii="Arial" w:hAnsi="Arial"/>
                <w:color w:val="000000"/>
                <w:sz w:val="18"/>
                <w:szCs w:val="18"/>
              </w:rPr>
              <w:t>-</w:t>
            </w:r>
            <w:r>
              <w:rPr>
                <w:rFonts w:hint="eastAsia" w:ascii="宋体" w:hAnsi="宋体"/>
                <w:color w:val="000000"/>
                <w:sz w:val="18"/>
                <w:szCs w:val="18"/>
              </w:rPr>
              <w:t>复兴</w:t>
            </w:r>
            <w:r>
              <w:rPr>
                <w:rFonts w:ascii="Arial" w:hAnsi="Arial"/>
                <w:color w:val="000000"/>
                <w:sz w:val="18"/>
                <w:szCs w:val="18"/>
              </w:rPr>
              <w:t>-</w:t>
            </w:r>
            <w:r>
              <w:rPr>
                <w:rFonts w:hint="eastAsia" w:ascii="宋体" w:hAnsi="宋体"/>
                <w:color w:val="000000"/>
                <w:sz w:val="18"/>
                <w:szCs w:val="18"/>
              </w:rPr>
              <w:t>成熟的阶段。目前可见的智能投顾都是销售导向型，缺乏科学算法支撑，只是营销噱头。就像中国是汽车大国，但无人驾驶车研发自谷歌。</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1</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.1</w:t>
            </w:r>
          </w:p>
        </w:tc>
      </w:tr>
      <w:tr>
        <w:tblPrEx>
          <w:tblLayout w:type="fixed"/>
          <w:tblCellMar>
            <w:top w:w="0" w:type="dxa"/>
            <w:left w:w="108" w:type="dxa"/>
            <w:bottom w:w="0" w:type="dxa"/>
            <w:right w:w="108" w:type="dxa"/>
          </w:tblCellMar>
        </w:tblPrEx>
        <w:trPr>
          <w:trHeight w:val="664" w:hRule="atLeast"/>
          <w:jc w:val="center"/>
        </w:trPr>
        <w:tc>
          <w:tcPr>
            <w:tcW w:w="5955" w:type="dxa"/>
            <w:tcBorders>
              <w:top w:val="single" w:color="000000" w:sz="4" w:space="0"/>
              <w:left w:val="single" w:color="000000" w:sz="4" w:space="0"/>
              <w:bottom w:val="single" w:color="000000" w:sz="4" w:space="0"/>
              <w:right w:val="single" w:color="000000" w:sz="4" w:space="0"/>
            </w:tcBorders>
            <w:vAlign w:val="center"/>
          </w:tcPr>
          <w:p>
            <w:pPr>
              <w:rPr>
                <w:rFonts w:ascii="Arial" w:hAnsi="Arial"/>
                <w:color w:val="000000"/>
                <w:sz w:val="18"/>
                <w:szCs w:val="18"/>
              </w:rPr>
            </w:pPr>
            <w:r>
              <w:rPr>
                <w:rFonts w:hint="eastAsia" w:ascii="宋体" w:hAnsi="宋体"/>
                <w:color w:val="000000"/>
                <w:sz w:val="18"/>
                <w:szCs w:val="18"/>
              </w:rPr>
              <w:t>智能投顾会在中产阶级标准化产品方面做得更好，但高净值客户私募产品方面无法替代</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183</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11.6</w:t>
            </w:r>
          </w:p>
        </w:tc>
      </w:tr>
      <w:tr>
        <w:tblPrEx>
          <w:tblLayout w:type="fixed"/>
          <w:tblCellMar>
            <w:top w:w="0" w:type="dxa"/>
            <w:left w:w="108" w:type="dxa"/>
            <w:bottom w:w="0" w:type="dxa"/>
            <w:right w:w="108" w:type="dxa"/>
          </w:tblCellMar>
        </w:tblPrEx>
        <w:trPr>
          <w:trHeight w:val="450" w:hRule="atLeast"/>
          <w:jc w:val="center"/>
        </w:trPr>
        <w:tc>
          <w:tcPr>
            <w:tcW w:w="5955" w:type="dxa"/>
            <w:tcBorders>
              <w:top w:val="single" w:color="000000" w:sz="4" w:space="0"/>
              <w:left w:val="single" w:color="000000" w:sz="4" w:space="0"/>
              <w:bottom w:val="single" w:color="000000" w:sz="4" w:space="0"/>
              <w:right w:val="single" w:color="000000" w:sz="4" w:space="0"/>
            </w:tcBorders>
            <w:vAlign w:val="center"/>
          </w:tcPr>
          <w:p>
            <w:pPr>
              <w:rPr>
                <w:rFonts w:ascii="Arial" w:hAnsi="Arial"/>
                <w:color w:val="000000"/>
                <w:sz w:val="18"/>
                <w:szCs w:val="18"/>
              </w:rPr>
            </w:pPr>
            <w:r>
              <w:rPr>
                <w:rFonts w:hint="eastAsia" w:ascii="宋体" w:hAnsi="宋体"/>
                <w:color w:val="000000"/>
                <w:sz w:val="18"/>
                <w:szCs w:val="18"/>
              </w:rPr>
              <w:t>智能投顾智能提升效率，不能替代理财师</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180</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11.4</w:t>
            </w:r>
          </w:p>
        </w:tc>
      </w:tr>
      <w:tr>
        <w:tblPrEx>
          <w:tblLayout w:type="fixed"/>
          <w:tblCellMar>
            <w:top w:w="0" w:type="dxa"/>
            <w:left w:w="108" w:type="dxa"/>
            <w:bottom w:w="0" w:type="dxa"/>
            <w:right w:w="108" w:type="dxa"/>
          </w:tblCellMar>
        </w:tblPrEx>
        <w:trPr>
          <w:trHeight w:val="300" w:hRule="atLeast"/>
          <w:jc w:val="center"/>
        </w:trPr>
        <w:tc>
          <w:tcPr>
            <w:tcW w:w="5955" w:type="dxa"/>
            <w:tcBorders>
              <w:top w:val="single" w:color="000000" w:sz="4" w:space="0"/>
              <w:left w:val="single" w:color="000000" w:sz="4" w:space="0"/>
              <w:bottom w:val="single" w:color="000000" w:sz="4" w:space="0"/>
              <w:right w:val="single" w:color="000000" w:sz="4" w:space="0"/>
            </w:tcBorders>
            <w:vAlign w:val="center"/>
          </w:tcPr>
          <w:p>
            <w:pPr>
              <w:rPr>
                <w:rFonts w:ascii="Arial" w:hAnsi="Arial"/>
                <w:color w:val="000000"/>
                <w:sz w:val="18"/>
                <w:szCs w:val="18"/>
              </w:rPr>
            </w:pPr>
            <w:r>
              <w:rPr>
                <w:rFonts w:hint="eastAsia" w:ascii="宋体" w:hAnsi="宋体"/>
                <w:color w:val="000000"/>
                <w:sz w:val="18"/>
                <w:szCs w:val="18"/>
              </w:rPr>
              <w:t>其它</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3</w:t>
            </w:r>
          </w:p>
        </w:tc>
        <w:tc>
          <w:tcPr>
            <w:tcW w:w="1080" w:type="dxa"/>
            <w:tcBorders>
              <w:top w:val="single" w:color="000000" w:sz="4" w:space="0"/>
              <w:left w:val="nil"/>
              <w:bottom w:val="single" w:color="000000" w:sz="4" w:space="0"/>
              <w:right w:val="single" w:color="000000" w:sz="4" w:space="0"/>
            </w:tcBorders>
            <w:vAlign w:val="center"/>
          </w:tcPr>
          <w:p>
            <w:pPr>
              <w:jc w:val="center"/>
              <w:rPr>
                <w:rFonts w:ascii="Arial" w:hAnsi="Arial"/>
                <w:color w:val="000000"/>
                <w:sz w:val="18"/>
                <w:szCs w:val="18"/>
              </w:rPr>
            </w:pPr>
            <w:r>
              <w:rPr>
                <w:rFonts w:ascii="Arial" w:hAnsi="Arial"/>
                <w:color w:val="000000"/>
                <w:sz w:val="18"/>
                <w:szCs w:val="18"/>
              </w:rPr>
              <w:t>.2</w:t>
            </w:r>
          </w:p>
        </w:tc>
      </w:tr>
    </w:tbl>
    <w:p>
      <w:pPr>
        <w:spacing w:line="360" w:lineRule="auto"/>
        <w:jc w:val="center"/>
        <w:rPr>
          <w:rFonts w:hAnsi="宋体"/>
        </w:rPr>
      </w:pPr>
      <w:r>
        <w:rPr>
          <w:rFonts w:hAnsi="宋体"/>
        </w:rPr>
        <w:t xml:space="preserve"> </w:t>
      </w:r>
    </w:p>
    <w:p>
      <w:pPr>
        <w:spacing w:line="360" w:lineRule="auto"/>
        <w:rPr>
          <w:rFonts w:ascii="宋体"/>
          <w:sz w:val="28"/>
          <w:szCs w:val="28"/>
        </w:rPr>
      </w:pPr>
      <w:r>
        <w:rPr>
          <w:rFonts w:ascii="宋体" w:hAnsi="宋体"/>
          <w:sz w:val="28"/>
          <w:szCs w:val="28"/>
        </w:rPr>
        <w:t>4</w:t>
      </w:r>
      <w:r>
        <w:rPr>
          <w:rFonts w:hint="eastAsia" w:ascii="宋体" w:hAnsi="宋体"/>
          <w:sz w:val="28"/>
          <w:szCs w:val="28"/>
        </w:rPr>
        <w:t>、国内独立理财师发展情况</w:t>
      </w:r>
    </w:p>
    <w:p>
      <w:pPr>
        <w:spacing w:line="360" w:lineRule="auto"/>
        <w:jc w:val="center"/>
        <w:rPr>
          <w:rFonts w:hAnsi="宋体"/>
        </w:rPr>
      </w:pPr>
      <w:r>
        <w:pict>
          <v:shape id="_x0000_i1058" o:spt="75" type="#_x0000_t75" style="height:214.5pt;width:426pt;" filled="f" o:preferrelative="t" stroked="f" coordsize="21600,21600">
            <v:path/>
            <v:fill on="f" focussize="0,0"/>
            <v:stroke on="f" joinstyle="miter"/>
            <v:imagedata r:id="rId39" o:title=""/>
            <o:lock v:ext="edit" aspectratio="t"/>
            <w10:wrap type="none"/>
            <w10:anchorlock/>
          </v:shape>
        </w:pict>
      </w:r>
      <w:r>
        <w:rPr>
          <w:rFonts w:hAnsi="宋体"/>
        </w:rPr>
        <w:t xml:space="preserve"> </w:t>
      </w:r>
    </w:p>
    <w:p>
      <w:pPr>
        <w:spacing w:line="360" w:lineRule="auto"/>
        <w:jc w:val="center"/>
        <w:rPr>
          <w:rFonts w:hAnsi="宋体"/>
        </w:rPr>
      </w:pPr>
      <w:r>
        <w:rPr>
          <w:rFonts w:hAnsi="宋体"/>
        </w:rPr>
        <w:t xml:space="preserve"> </w:t>
      </w:r>
    </w:p>
    <w:p>
      <w:pPr>
        <w:spacing w:line="360" w:lineRule="auto"/>
        <w:rPr>
          <w:rFonts w:ascii="宋体"/>
          <w:b/>
          <w:bCs/>
          <w:sz w:val="28"/>
          <w:szCs w:val="28"/>
        </w:rPr>
      </w:pPr>
      <w:r>
        <w:rPr>
          <w:rFonts w:ascii="宋体" w:hAnsi="宋体"/>
          <w:b/>
          <w:bCs/>
          <w:sz w:val="28"/>
          <w:szCs w:val="28"/>
        </w:rPr>
        <w:t>5</w:t>
      </w:r>
      <w:r>
        <w:rPr>
          <w:rFonts w:hint="eastAsia" w:ascii="宋体" w:hAnsi="宋体"/>
          <w:b/>
          <w:bCs/>
          <w:sz w:val="28"/>
          <w:szCs w:val="28"/>
        </w:rPr>
        <w:t>、线上理财模式的认同程度</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有效样本中，</w:t>
      </w:r>
      <w:r>
        <w:rPr>
          <w:rFonts w:ascii="宋体" w:hAnsi="宋体"/>
          <w:sz w:val="28"/>
          <w:szCs w:val="28"/>
        </w:rPr>
        <w:t>81.1%</w:t>
      </w:r>
      <w:r>
        <w:rPr>
          <w:rFonts w:hint="eastAsia" w:ascii="宋体" w:hAnsi="宋体"/>
          <w:sz w:val="28"/>
          <w:szCs w:val="28"/>
        </w:rPr>
        <w:t>的金融理财从业人员认为，线上理财模式会越来越受到国内中产阶层认同。</w:t>
      </w:r>
    </w:p>
    <w:p>
      <w:pPr>
        <w:spacing w:line="360" w:lineRule="auto"/>
        <w:jc w:val="center"/>
        <w:rPr>
          <w:rFonts w:hAnsi="宋体"/>
        </w:rPr>
      </w:pPr>
      <w:r>
        <w:pict>
          <v:shape id="_x0000_i1059" o:spt="75" type="#_x0000_t75" style="height:160.5pt;width:275.25pt;" filled="f" o:preferrelative="t" stroked="f" coordsize="21600,21600">
            <v:path/>
            <v:fill on="f" focussize="0,0"/>
            <v:stroke on="f" joinstyle="miter"/>
            <v:imagedata r:id="rId40" o:title=""/>
            <o:lock v:ext="edit" aspectratio="t"/>
            <w10:wrap type="none"/>
            <w10:anchorlock/>
          </v:shape>
        </w:pict>
      </w:r>
      <w:r>
        <w:rPr>
          <w:rFonts w:hAnsi="宋体"/>
        </w:rPr>
        <w:t xml:space="preserve"> </w:t>
      </w:r>
    </w:p>
    <w:p>
      <w:pPr>
        <w:spacing w:line="360" w:lineRule="auto"/>
        <w:jc w:val="center"/>
        <w:rPr>
          <w:rFonts w:ascii="宋体"/>
          <w:sz w:val="28"/>
          <w:szCs w:val="28"/>
        </w:rPr>
      </w:pPr>
      <w:r>
        <w:rPr>
          <w:rFonts w:hint="eastAsia" w:ascii="宋体" w:hAnsi="宋体"/>
          <w:b/>
          <w:bCs/>
          <w:sz w:val="21"/>
          <w:szCs w:val="21"/>
        </w:rPr>
        <w:t>图</w:t>
      </w:r>
      <w:r>
        <w:rPr>
          <w:rFonts w:hAnsi="宋体"/>
          <w:b/>
          <w:bCs/>
          <w:sz w:val="21"/>
          <w:szCs w:val="21"/>
        </w:rPr>
        <w:t>29</w:t>
      </w:r>
      <w:r>
        <w:rPr>
          <w:rFonts w:hint="eastAsia" w:ascii="宋体" w:hAnsi="宋体"/>
          <w:b/>
          <w:bCs/>
          <w:sz w:val="21"/>
          <w:szCs w:val="21"/>
        </w:rPr>
        <w:t>线上理财模式的认同程度</w:t>
      </w:r>
    </w:p>
    <w:p>
      <w:pPr>
        <w:spacing w:line="360" w:lineRule="auto"/>
        <w:rPr>
          <w:rFonts w:ascii="宋体"/>
          <w:sz w:val="28"/>
          <w:szCs w:val="28"/>
        </w:rPr>
      </w:pPr>
      <w:r>
        <w:rPr>
          <w:rFonts w:ascii="宋体" w:hAnsi="宋体"/>
          <w:sz w:val="28"/>
          <w:szCs w:val="28"/>
        </w:rPr>
        <w:t xml:space="preserve"> </w:t>
      </w:r>
    </w:p>
    <w:p>
      <w:pPr>
        <w:spacing w:line="360" w:lineRule="auto"/>
        <w:rPr>
          <w:rFonts w:ascii="宋体"/>
          <w:sz w:val="28"/>
          <w:szCs w:val="28"/>
        </w:rPr>
      </w:pPr>
      <w:r>
        <w:rPr>
          <w:rFonts w:ascii="宋体" w:hAnsi="宋体"/>
          <w:sz w:val="28"/>
          <w:szCs w:val="28"/>
        </w:rPr>
        <w:t>6</w:t>
      </w:r>
      <w:r>
        <w:rPr>
          <w:rFonts w:hint="eastAsia" w:ascii="宋体" w:hAnsi="宋体"/>
          <w:sz w:val="28"/>
          <w:szCs w:val="28"/>
        </w:rPr>
        <w:t>、线下理财商业组织形式最可能获得成功的是？</w:t>
      </w:r>
      <w:r>
        <w:rPr>
          <w:rFonts w:ascii="宋体" w:hAnsi="宋体"/>
          <w:sz w:val="28"/>
          <w:szCs w:val="28"/>
        </w:rPr>
        <w:t xml:space="preserve"> </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线下理财商业组织形式最可能获得成功的是事务所合伙制和独立理财师工作室。</w:t>
      </w:r>
    </w:p>
    <w:p>
      <w:pPr>
        <w:spacing w:line="360" w:lineRule="auto"/>
        <w:jc w:val="center"/>
        <w:rPr>
          <w:rFonts w:hAnsi="宋体"/>
        </w:rPr>
      </w:pPr>
      <w:r>
        <w:pict>
          <v:shape id="_x0000_i1060" o:spt="75" type="#_x0000_t75" style="height:156pt;width:365.25pt;" filled="f" o:preferrelative="t" stroked="f" coordsize="21600,21600">
            <v:path/>
            <v:fill on="f" focussize="0,0"/>
            <v:stroke on="f" joinstyle="miter"/>
            <v:imagedata r:id="rId41" o:title=""/>
            <o:lock v:ext="edit" aspectratio="t"/>
            <w10:wrap type="none"/>
            <w10:anchorlock/>
          </v:shape>
        </w:pict>
      </w:r>
      <w:r>
        <w:rPr>
          <w:rFonts w:hAnsi="宋体"/>
        </w:rPr>
        <w:t xml:space="preserve"> </w:t>
      </w:r>
    </w:p>
    <w:p>
      <w:pPr>
        <w:spacing w:line="360" w:lineRule="auto"/>
        <w:rPr>
          <w:rFonts w:ascii="宋体"/>
          <w:sz w:val="28"/>
          <w:szCs w:val="28"/>
        </w:rPr>
      </w:pPr>
      <w:r>
        <w:rPr>
          <w:rFonts w:ascii="宋体" w:hAnsi="宋体"/>
          <w:sz w:val="28"/>
          <w:szCs w:val="28"/>
        </w:rPr>
        <w:t>7</w:t>
      </w:r>
      <w:r>
        <w:rPr>
          <w:rFonts w:hint="eastAsia" w:ascii="宋体" w:hAnsi="宋体"/>
          <w:sz w:val="28"/>
          <w:szCs w:val="28"/>
        </w:rPr>
        <w:t>、认为客户付费在</w:t>
      </w:r>
      <w:r>
        <w:rPr>
          <w:rFonts w:ascii="宋体" w:hAnsi="宋体"/>
          <w:sz w:val="28"/>
          <w:szCs w:val="28"/>
        </w:rPr>
        <w:t>5</w:t>
      </w:r>
      <w:r>
        <w:rPr>
          <w:rFonts w:hint="eastAsia" w:ascii="宋体" w:hAnsi="宋体"/>
          <w:sz w:val="28"/>
          <w:szCs w:val="28"/>
        </w:rPr>
        <w:t>年内会成为行业主流的比例</w:t>
      </w:r>
    </w:p>
    <w:p>
      <w:pPr>
        <w:spacing w:line="360" w:lineRule="auto"/>
        <w:rPr>
          <w:rFonts w:ascii="宋体"/>
          <w:sz w:val="28"/>
          <w:szCs w:val="28"/>
        </w:rPr>
      </w:pPr>
      <w:r>
        <w:rPr>
          <w:rFonts w:ascii="宋体" w:hAnsi="宋体"/>
          <w:sz w:val="28"/>
          <w:szCs w:val="28"/>
        </w:rPr>
        <w:t xml:space="preserve">    68.9%</w:t>
      </w:r>
      <w:r>
        <w:rPr>
          <w:rFonts w:hint="eastAsia" w:ascii="宋体" w:hAnsi="宋体"/>
          <w:sz w:val="28"/>
          <w:szCs w:val="28"/>
        </w:rPr>
        <w:t>的从业人员认为，客户付费在</w:t>
      </w:r>
      <w:r>
        <w:rPr>
          <w:rFonts w:ascii="宋体" w:hAnsi="宋体"/>
          <w:sz w:val="28"/>
          <w:szCs w:val="28"/>
        </w:rPr>
        <w:t>5</w:t>
      </w:r>
      <w:r>
        <w:rPr>
          <w:rFonts w:hint="eastAsia" w:ascii="宋体" w:hAnsi="宋体"/>
          <w:sz w:val="28"/>
          <w:szCs w:val="28"/>
        </w:rPr>
        <w:t>年内不会或不确定成为行业主流。</w:t>
      </w:r>
    </w:p>
    <w:p>
      <w:pPr>
        <w:spacing w:line="360" w:lineRule="auto"/>
        <w:jc w:val="center"/>
        <w:rPr>
          <w:rFonts w:hAnsi="宋体"/>
        </w:rPr>
      </w:pPr>
      <w:r>
        <w:pict>
          <v:shape id="_x0000_i1061" o:spt="75" type="#_x0000_t75" style="height:160.5pt;width:275.25pt;" filled="f" o:preferrelative="t" stroked="f" coordsize="21600,21600">
            <v:path/>
            <v:fill on="f" focussize="0,0"/>
            <v:stroke on="f" joinstyle="miter"/>
            <v:imagedata r:id="rId42" o:title=""/>
            <o:lock v:ext="edit" aspectratio="t"/>
            <w10:wrap type="none"/>
            <w10:anchorlock/>
          </v:shape>
        </w:pict>
      </w:r>
      <w:r>
        <w:rPr>
          <w:rFonts w:hAnsi="宋体"/>
        </w:rPr>
        <w:t xml:space="preserve"> </w:t>
      </w:r>
    </w:p>
    <w:p>
      <w:pPr>
        <w:jc w:val="center"/>
      </w:pPr>
      <w:r>
        <w:rPr>
          <w:rFonts w:hint="eastAsia" w:ascii="宋体" w:hAnsi="宋体"/>
          <w:b/>
          <w:bCs/>
          <w:sz w:val="21"/>
          <w:szCs w:val="21"/>
        </w:rPr>
        <w:t>图</w:t>
      </w:r>
      <w:r>
        <w:rPr>
          <w:rFonts w:hAnsi="宋体"/>
          <w:b/>
          <w:bCs/>
          <w:sz w:val="21"/>
          <w:szCs w:val="21"/>
        </w:rPr>
        <w:t>30</w:t>
      </w:r>
      <w:r>
        <w:rPr>
          <w:rFonts w:hint="eastAsia" w:ascii="宋体" w:hAnsi="宋体"/>
          <w:b/>
          <w:bCs/>
          <w:sz w:val="21"/>
          <w:szCs w:val="21"/>
        </w:rPr>
        <w:t>认为客户付费在</w:t>
      </w:r>
      <w:r>
        <w:rPr>
          <w:rFonts w:cs="Calibri"/>
          <w:b/>
          <w:bCs/>
          <w:sz w:val="21"/>
          <w:szCs w:val="21"/>
        </w:rPr>
        <w:t>5</w:t>
      </w:r>
      <w:r>
        <w:rPr>
          <w:rFonts w:hint="eastAsia" w:ascii="宋体" w:hAnsi="宋体"/>
          <w:b/>
          <w:bCs/>
          <w:sz w:val="21"/>
          <w:szCs w:val="21"/>
        </w:rPr>
        <w:t>年内会成为行业主流的比例</w:t>
      </w:r>
    </w:p>
    <w:p>
      <w:pPr>
        <w:spacing w:line="360" w:lineRule="auto"/>
        <w:rPr>
          <w:rFonts w:ascii="宋体"/>
          <w:b/>
          <w:bCs/>
          <w:sz w:val="28"/>
          <w:szCs w:val="28"/>
        </w:rPr>
      </w:pPr>
      <w:r>
        <w:rPr>
          <w:rFonts w:ascii="宋体" w:hAnsi="宋体"/>
          <w:b/>
          <w:bCs/>
          <w:sz w:val="28"/>
          <w:szCs w:val="28"/>
        </w:rPr>
        <w:t xml:space="preserve"> </w:t>
      </w:r>
    </w:p>
    <w:p>
      <w:pPr>
        <w:spacing w:line="360" w:lineRule="auto"/>
        <w:rPr>
          <w:rFonts w:ascii="宋体"/>
          <w:b/>
          <w:bCs/>
          <w:sz w:val="32"/>
          <w:szCs w:val="32"/>
        </w:rPr>
      </w:pPr>
      <w:r>
        <w:rPr>
          <w:rFonts w:hint="eastAsia" w:ascii="宋体" w:hAnsi="宋体"/>
          <w:b/>
          <w:bCs/>
          <w:sz w:val="32"/>
          <w:szCs w:val="32"/>
        </w:rPr>
        <w:t>三、主要结论</w:t>
      </w:r>
    </w:p>
    <w:p>
      <w:pPr>
        <w:spacing w:line="360" w:lineRule="auto"/>
        <w:rPr>
          <w:rFonts w:ascii="宋体"/>
          <w:b/>
          <w:bCs/>
          <w:sz w:val="28"/>
          <w:szCs w:val="28"/>
        </w:rPr>
      </w:pPr>
      <w:r>
        <w:rPr>
          <w:rFonts w:hint="eastAsia" w:ascii="宋体" w:hAnsi="宋体"/>
          <w:b/>
          <w:bCs/>
          <w:sz w:val="30"/>
          <w:szCs w:val="30"/>
        </w:rPr>
        <w:t>（一）金融理财从业人员对目前工作的满意度、理财技能自信度均处于一般水平</w:t>
      </w:r>
    </w:p>
    <w:p>
      <w:pPr>
        <w:spacing w:line="360" w:lineRule="auto"/>
        <w:ind w:firstLine="560" w:firstLineChars="200"/>
        <w:rPr>
          <w:rFonts w:ascii="宋体"/>
          <w:sz w:val="28"/>
          <w:szCs w:val="28"/>
        </w:rPr>
      </w:pPr>
      <w:r>
        <w:rPr>
          <w:rFonts w:hint="eastAsia" w:ascii="宋体" w:hAnsi="宋体"/>
          <w:sz w:val="28"/>
          <w:szCs w:val="28"/>
        </w:rPr>
        <w:t>数据显示，金融理财从业人员对目前工作的满意度仅为</w:t>
      </w:r>
      <w:r>
        <w:rPr>
          <w:rFonts w:ascii="宋体" w:hAnsi="宋体"/>
          <w:sz w:val="28"/>
          <w:szCs w:val="28"/>
        </w:rPr>
        <w:t>62.25</w:t>
      </w:r>
      <w:r>
        <w:rPr>
          <w:rFonts w:hint="eastAsia" w:ascii="宋体" w:hAnsi="宋体"/>
          <w:sz w:val="28"/>
          <w:szCs w:val="28"/>
        </w:rPr>
        <w:t>，处于一般水平。从比例来看，选择“满意</w:t>
      </w:r>
      <w:r>
        <w:rPr>
          <w:rFonts w:ascii="宋体" w:hAnsi="宋体"/>
          <w:sz w:val="28"/>
          <w:szCs w:val="28"/>
        </w:rPr>
        <w:t>5</w:t>
      </w:r>
      <w:r>
        <w:rPr>
          <w:rFonts w:hint="eastAsia" w:ascii="宋体" w:hAnsi="宋体"/>
          <w:sz w:val="28"/>
          <w:szCs w:val="28"/>
        </w:rPr>
        <w:t>”和“较满意</w:t>
      </w:r>
      <w:r>
        <w:rPr>
          <w:rFonts w:ascii="宋体" w:hAnsi="宋体"/>
          <w:sz w:val="28"/>
          <w:szCs w:val="28"/>
        </w:rPr>
        <w:t>4</w:t>
      </w:r>
      <w:r>
        <w:rPr>
          <w:rFonts w:hint="eastAsia" w:ascii="宋体" w:hAnsi="宋体"/>
          <w:sz w:val="28"/>
          <w:szCs w:val="28"/>
        </w:rPr>
        <w:t>”占到</w:t>
      </w:r>
      <w:r>
        <w:rPr>
          <w:rFonts w:ascii="宋体" w:hAnsi="宋体"/>
          <w:sz w:val="28"/>
          <w:szCs w:val="28"/>
        </w:rPr>
        <w:t>53.8%</w:t>
      </w:r>
      <w:r>
        <w:rPr>
          <w:rFonts w:hint="eastAsia" w:ascii="宋体" w:hAnsi="宋体"/>
          <w:sz w:val="28"/>
          <w:szCs w:val="28"/>
        </w:rPr>
        <w:t>。通过年龄、收入、学历、理财工作年限、三年以上客户占比等数据交叉分析发现，处于</w:t>
      </w:r>
      <w:r>
        <w:rPr>
          <w:rFonts w:ascii="宋体" w:hAnsi="宋体"/>
          <w:sz w:val="28"/>
          <w:szCs w:val="28"/>
        </w:rPr>
        <w:t>26-40</w:t>
      </w:r>
      <w:r>
        <w:rPr>
          <w:rFonts w:hint="eastAsia" w:ascii="宋体" w:hAnsi="宋体"/>
          <w:sz w:val="28"/>
          <w:szCs w:val="28"/>
        </w:rPr>
        <w:t>岁的中年从业人员满意度较低，学历较低的从业人员满意度也较低，年收入水平越低的满意度越低，理财工作年限较短的满意度较低，三年以上客户占比较少的满意度较低。</w:t>
      </w:r>
    </w:p>
    <w:p>
      <w:pPr>
        <w:spacing w:line="360" w:lineRule="auto"/>
        <w:ind w:firstLine="560" w:firstLineChars="200"/>
        <w:rPr>
          <w:rFonts w:ascii="宋体"/>
          <w:sz w:val="28"/>
          <w:szCs w:val="28"/>
        </w:rPr>
      </w:pPr>
      <w:r>
        <w:rPr>
          <w:rFonts w:hint="eastAsia" w:ascii="宋体" w:hAnsi="宋体"/>
          <w:sz w:val="28"/>
          <w:szCs w:val="28"/>
        </w:rPr>
        <w:t>数据显示，</w:t>
      </w:r>
      <w:r>
        <w:rPr>
          <w:rFonts w:ascii="宋体" w:hAnsi="宋体"/>
          <w:sz w:val="28"/>
          <w:szCs w:val="28"/>
        </w:rPr>
        <w:t>61.1%</w:t>
      </w:r>
      <w:r>
        <w:rPr>
          <w:rFonts w:hint="eastAsia" w:ascii="宋体" w:hAnsi="宋体"/>
          <w:sz w:val="28"/>
          <w:szCs w:val="28"/>
        </w:rPr>
        <w:t>的金融从业人员对自己理财专业技能自信一般或缺乏自信</w:t>
      </w:r>
      <w:r>
        <w:rPr>
          <w:rFonts w:hint="eastAsia" w:ascii="宋体" w:hAnsi="宋体"/>
          <w:sz w:val="28"/>
          <w:szCs w:val="28"/>
          <w:lang w:eastAsia="zh-CN"/>
        </w:rPr>
        <w:t>，</w:t>
      </w:r>
      <w:r>
        <w:rPr>
          <w:rFonts w:hint="eastAsia" w:ascii="宋体" w:hAnsi="宋体"/>
          <w:sz w:val="28"/>
          <w:szCs w:val="28"/>
        </w:rPr>
        <w:t>对于“有效的学习形式”选择最多的三项是“现场集中式专题培训”（</w:t>
      </w:r>
      <w:r>
        <w:rPr>
          <w:rFonts w:ascii="宋体" w:hAnsi="宋体"/>
          <w:sz w:val="28"/>
          <w:szCs w:val="28"/>
        </w:rPr>
        <w:t>20.1%</w:t>
      </w:r>
      <w:r>
        <w:rPr>
          <w:rFonts w:hint="eastAsia" w:ascii="宋体" w:hAnsi="宋体"/>
          <w:sz w:val="28"/>
          <w:szCs w:val="28"/>
        </w:rPr>
        <w:t>）、“系统性的执照考试学习”（</w:t>
      </w:r>
      <w:r>
        <w:rPr>
          <w:rFonts w:ascii="宋体" w:hAnsi="宋体"/>
          <w:sz w:val="28"/>
          <w:szCs w:val="28"/>
        </w:rPr>
        <w:t>19.5%</w:t>
      </w:r>
      <w:r>
        <w:rPr>
          <w:rFonts w:hint="eastAsia" w:ascii="宋体" w:hAnsi="宋体"/>
          <w:sz w:val="28"/>
          <w:szCs w:val="28"/>
        </w:rPr>
        <w:t>）以及“专业财富管理线上学习平台”（</w:t>
      </w:r>
      <w:r>
        <w:rPr>
          <w:rFonts w:ascii="宋体" w:hAnsi="宋体"/>
          <w:sz w:val="28"/>
          <w:szCs w:val="28"/>
        </w:rPr>
        <w:t>19.5%</w:t>
      </w:r>
      <w:r>
        <w:rPr>
          <w:rFonts w:hint="eastAsia" w:ascii="宋体" w:hAnsi="宋体"/>
          <w:sz w:val="28"/>
          <w:szCs w:val="28"/>
        </w:rPr>
        <w:t>）的学习形式；最期望获得的专业能力是金融产品分析判断能力（</w:t>
      </w:r>
      <w:r>
        <w:rPr>
          <w:rFonts w:ascii="宋体" w:hAnsi="宋体"/>
          <w:sz w:val="28"/>
          <w:szCs w:val="28"/>
        </w:rPr>
        <w:t>25%</w:t>
      </w:r>
      <w:r>
        <w:rPr>
          <w:rFonts w:hint="eastAsia" w:ascii="宋体" w:hAnsi="宋体"/>
          <w:sz w:val="28"/>
          <w:szCs w:val="28"/>
        </w:rPr>
        <w:t>）、家庭理财规划架构能力（</w:t>
      </w:r>
      <w:r>
        <w:rPr>
          <w:rFonts w:ascii="宋体" w:hAnsi="宋体"/>
          <w:sz w:val="28"/>
          <w:szCs w:val="28"/>
        </w:rPr>
        <w:t>19.6%</w:t>
      </w:r>
      <w:r>
        <w:rPr>
          <w:rFonts w:hint="eastAsia" w:ascii="宋体" w:hAnsi="宋体"/>
          <w:sz w:val="28"/>
          <w:szCs w:val="28"/>
        </w:rPr>
        <w:t>）以及法律税务方面的建议能力（</w:t>
      </w:r>
      <w:r>
        <w:rPr>
          <w:rFonts w:ascii="宋体" w:hAnsi="宋体"/>
          <w:sz w:val="28"/>
          <w:szCs w:val="28"/>
        </w:rPr>
        <w:t>19.2%</w:t>
      </w:r>
      <w:r>
        <w:rPr>
          <w:rFonts w:hint="eastAsia" w:ascii="宋体" w:hAnsi="宋体"/>
          <w:sz w:val="28"/>
          <w:szCs w:val="28"/>
        </w:rPr>
        <w:t>）。</w:t>
      </w:r>
    </w:p>
    <w:p>
      <w:pPr>
        <w:spacing w:line="360" w:lineRule="auto"/>
        <w:ind w:firstLine="560" w:firstLineChars="200"/>
        <w:rPr>
          <w:rFonts w:ascii="宋体"/>
          <w:sz w:val="28"/>
          <w:szCs w:val="28"/>
        </w:rPr>
      </w:pPr>
      <w:r>
        <w:rPr>
          <w:rFonts w:hint="eastAsia" w:ascii="宋体" w:hAnsi="宋体"/>
          <w:sz w:val="28"/>
          <w:szCs w:val="28"/>
        </w:rPr>
        <w:t>同时，</w:t>
      </w:r>
      <w:r>
        <w:rPr>
          <w:rFonts w:ascii="宋体" w:hAnsi="宋体"/>
          <w:sz w:val="28"/>
          <w:szCs w:val="28"/>
        </w:rPr>
        <w:t>82.4%</w:t>
      </w:r>
      <w:r>
        <w:rPr>
          <w:rFonts w:hint="eastAsia" w:ascii="宋体" w:hAnsi="宋体"/>
          <w:sz w:val="28"/>
          <w:szCs w:val="28"/>
        </w:rPr>
        <w:t>的金融理财专业人员表示不会自费寻求受雇机构外的专业培训。</w:t>
      </w:r>
    </w:p>
    <w:p>
      <w:pPr>
        <w:spacing w:line="360" w:lineRule="auto"/>
        <w:ind w:firstLine="602" w:firstLineChars="200"/>
        <w:rPr>
          <w:rFonts w:ascii="宋体"/>
          <w:b/>
          <w:bCs/>
          <w:sz w:val="30"/>
          <w:szCs w:val="30"/>
        </w:rPr>
      </w:pPr>
      <w:r>
        <w:rPr>
          <w:rFonts w:hint="eastAsia" w:ascii="宋体" w:hAnsi="宋体"/>
          <w:b/>
          <w:bCs/>
          <w:sz w:val="30"/>
          <w:szCs w:val="30"/>
        </w:rPr>
        <w:t>（二）社会公众的理财意识有待加强</w:t>
      </w:r>
    </w:p>
    <w:p>
      <w:pPr>
        <w:spacing w:line="360" w:lineRule="auto"/>
        <w:ind w:firstLine="560" w:firstLineChars="200"/>
        <w:rPr>
          <w:rFonts w:ascii="宋体"/>
          <w:sz w:val="28"/>
          <w:szCs w:val="28"/>
        </w:rPr>
      </w:pPr>
      <w:r>
        <w:rPr>
          <w:rFonts w:hint="eastAsia" w:ascii="宋体" w:hAnsi="宋体"/>
          <w:sz w:val="28"/>
          <w:szCs w:val="28"/>
        </w:rPr>
        <w:t>数据显示，</w:t>
      </w:r>
      <w:r>
        <w:rPr>
          <w:rFonts w:ascii="宋体" w:hAnsi="宋体"/>
          <w:sz w:val="28"/>
          <w:szCs w:val="28"/>
        </w:rPr>
        <w:t>74.1%</w:t>
      </w:r>
      <w:r>
        <w:rPr>
          <w:rFonts w:hint="eastAsia" w:ascii="宋体" w:hAnsi="宋体"/>
          <w:sz w:val="28"/>
          <w:szCs w:val="28"/>
        </w:rPr>
        <w:t>的金融理财从业人员认为自己的客户中具备较强的理财意识的不超过</w:t>
      </w:r>
      <w:r>
        <w:rPr>
          <w:rFonts w:ascii="宋体" w:hAnsi="宋体"/>
          <w:sz w:val="28"/>
          <w:szCs w:val="28"/>
        </w:rPr>
        <w:t>30%</w:t>
      </w:r>
      <w:r>
        <w:rPr>
          <w:rFonts w:hint="eastAsia" w:ascii="宋体" w:hAnsi="宋体"/>
          <w:sz w:val="28"/>
          <w:szCs w:val="28"/>
        </w:rPr>
        <w:t>，理财业务纠纷存在的最主要问题是客户对理财产品认知的偏差问题（</w:t>
      </w:r>
      <w:r>
        <w:rPr>
          <w:rFonts w:ascii="宋体" w:hAnsi="宋体"/>
          <w:sz w:val="28"/>
          <w:szCs w:val="28"/>
        </w:rPr>
        <w:t>15.1%</w:t>
      </w:r>
      <w:r>
        <w:rPr>
          <w:rFonts w:hint="eastAsia" w:ascii="宋体" w:hAnsi="宋体"/>
          <w:sz w:val="28"/>
          <w:szCs w:val="28"/>
        </w:rPr>
        <w:t>）。</w:t>
      </w:r>
    </w:p>
    <w:p>
      <w:pPr>
        <w:spacing w:line="360" w:lineRule="auto"/>
        <w:ind w:firstLine="602" w:firstLineChars="200"/>
        <w:rPr>
          <w:rFonts w:ascii="宋体"/>
          <w:b/>
          <w:bCs/>
          <w:sz w:val="30"/>
          <w:szCs w:val="30"/>
        </w:rPr>
      </w:pPr>
      <w:r>
        <w:rPr>
          <w:rFonts w:hint="eastAsia" w:ascii="宋体" w:hAnsi="宋体"/>
          <w:b/>
          <w:bCs/>
          <w:sz w:val="30"/>
          <w:szCs w:val="30"/>
        </w:rPr>
        <w:t>（三）金融理财从业人员认为行业监管方向主要是行业自律组织建设及理财师从业资格准入管理</w:t>
      </w:r>
    </w:p>
    <w:p>
      <w:pPr>
        <w:spacing w:line="360" w:lineRule="auto"/>
        <w:ind w:firstLine="560" w:firstLineChars="200"/>
        <w:rPr>
          <w:rFonts w:ascii="宋体"/>
          <w:sz w:val="28"/>
          <w:szCs w:val="28"/>
        </w:rPr>
      </w:pPr>
      <w:r>
        <w:rPr>
          <w:rFonts w:hint="eastAsia" w:ascii="宋体" w:hAnsi="宋体"/>
          <w:sz w:val="28"/>
          <w:szCs w:val="28"/>
        </w:rPr>
        <w:t>数据显示，有</w:t>
      </w:r>
      <w:r>
        <w:rPr>
          <w:rFonts w:ascii="宋体" w:hAnsi="宋体"/>
          <w:sz w:val="28"/>
          <w:szCs w:val="28"/>
        </w:rPr>
        <w:t>60%</w:t>
      </w:r>
      <w:r>
        <w:rPr>
          <w:rFonts w:hint="eastAsia" w:ascii="宋体" w:hAnsi="宋体"/>
          <w:sz w:val="28"/>
          <w:szCs w:val="28"/>
        </w:rPr>
        <w:t>的人员感觉缺乏对金融机构和理财师的监管，未来行业需要加强监管的方向主要是行业自律组织建设（</w:t>
      </w:r>
      <w:r>
        <w:rPr>
          <w:rFonts w:ascii="宋体" w:hAnsi="宋体"/>
          <w:sz w:val="28"/>
          <w:szCs w:val="28"/>
        </w:rPr>
        <w:t>53.5%</w:t>
      </w:r>
      <w:r>
        <w:rPr>
          <w:rFonts w:hint="eastAsia" w:ascii="宋体" w:hAnsi="宋体"/>
          <w:sz w:val="28"/>
          <w:szCs w:val="28"/>
        </w:rPr>
        <w:t>）及理财师从业资格准入管理（</w:t>
      </w:r>
      <w:r>
        <w:rPr>
          <w:rFonts w:ascii="宋体" w:hAnsi="宋体"/>
          <w:sz w:val="28"/>
          <w:szCs w:val="28"/>
        </w:rPr>
        <w:t>53.3%</w:t>
      </w:r>
      <w:r>
        <w:rPr>
          <w:rFonts w:hint="eastAsia" w:ascii="宋体" w:hAnsi="宋体"/>
          <w:sz w:val="28"/>
          <w:szCs w:val="28"/>
        </w:rPr>
        <w:t>）。</w:t>
      </w:r>
      <w:r>
        <w:rPr>
          <w:rFonts w:ascii="宋体" w:hAnsi="宋体"/>
          <w:sz w:val="28"/>
          <w:szCs w:val="28"/>
        </w:rPr>
        <w:t xml:space="preserve"> </w:t>
      </w:r>
    </w:p>
    <w:p>
      <w:pPr>
        <w:spacing w:line="360" w:lineRule="auto"/>
        <w:rPr>
          <w:rFonts w:ascii="宋体"/>
          <w:b/>
          <w:bCs/>
          <w:sz w:val="32"/>
          <w:szCs w:val="32"/>
        </w:rPr>
      </w:pPr>
      <w:r>
        <w:rPr>
          <w:rFonts w:hint="eastAsia" w:ascii="宋体" w:hAnsi="宋体"/>
          <w:b/>
          <w:bCs/>
          <w:sz w:val="32"/>
          <w:szCs w:val="32"/>
        </w:rPr>
        <w:t>四、上海金融理财从业人员职业发展的思考和对策</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历时半年的调查问卷和数据分析，上海金融理财从业人员对目前工作的满意度、理财技能自信度均处于一般水平，在实际工作中认为社会公众的理财意识有待加强，同时希望未来行业发展加强监管的方向主要是行业自律建设及理财师从业资格准入管理。结合协会三年的工作，就上海金融理财从业人员的职业发展提出以下几点思考和对策：</w:t>
      </w:r>
    </w:p>
    <w:p>
      <w:pPr>
        <w:spacing w:line="360" w:lineRule="auto"/>
        <w:ind w:firstLine="602" w:firstLineChars="200"/>
        <w:rPr>
          <w:rFonts w:ascii="宋体"/>
          <w:b/>
          <w:bCs/>
          <w:sz w:val="28"/>
          <w:szCs w:val="28"/>
        </w:rPr>
      </w:pPr>
      <w:r>
        <w:rPr>
          <w:rFonts w:hint="eastAsia" w:ascii="宋体" w:hAnsi="宋体"/>
          <w:b/>
          <w:bCs/>
          <w:sz w:val="30"/>
          <w:szCs w:val="30"/>
        </w:rPr>
        <w:t>（一）以提升金融理财服务满意度为目标，锻造综合性、专业化的金融理财队伍</w:t>
      </w:r>
    </w:p>
    <w:p>
      <w:pPr>
        <w:spacing w:line="360" w:lineRule="auto"/>
        <w:ind w:firstLine="560" w:firstLineChars="200"/>
        <w:rPr>
          <w:rFonts w:ascii="宋体"/>
          <w:sz w:val="28"/>
          <w:szCs w:val="28"/>
        </w:rPr>
      </w:pPr>
      <w:r>
        <w:rPr>
          <w:rFonts w:ascii="宋体" w:hAnsi="宋体"/>
          <w:sz w:val="28"/>
          <w:szCs w:val="28"/>
        </w:rPr>
        <w:t>1</w:t>
      </w:r>
      <w:r>
        <w:rPr>
          <w:rFonts w:hint="eastAsia" w:ascii="宋体" w:hAnsi="宋体"/>
          <w:sz w:val="28"/>
          <w:szCs w:val="28"/>
        </w:rPr>
        <w:t>、提升金融理财服务满意度是协会的工作目标也是工作出发点。</w:t>
      </w:r>
    </w:p>
    <w:p>
      <w:pPr>
        <w:spacing w:line="360" w:lineRule="auto"/>
        <w:ind w:firstLine="560" w:firstLineChars="200"/>
        <w:rPr>
          <w:rFonts w:ascii="宋体"/>
          <w:sz w:val="28"/>
          <w:szCs w:val="28"/>
        </w:rPr>
      </w:pPr>
      <w:r>
        <w:rPr>
          <w:rFonts w:hint="eastAsia" w:ascii="宋体" w:hAnsi="宋体"/>
          <w:sz w:val="28"/>
          <w:szCs w:val="28"/>
        </w:rPr>
        <w:t>党的十九大明确提出中国特色社会主义进入了新时代，我国社会的主要矛盾发生了新变化，社会的主要矛盾是人民日益增长的美好生活需要和不平衡、不充分的发展之间的矛盾。随着生活水平的提高，理财产品品种日益丰富，投资理财方式也趋于多样化</w:t>
      </w:r>
      <w:r>
        <w:rPr>
          <w:rFonts w:hint="eastAsia" w:ascii="宋体" w:hAnsi="宋体"/>
          <w:sz w:val="28"/>
          <w:szCs w:val="28"/>
          <w:lang w:eastAsia="zh-CN"/>
        </w:rPr>
        <w:t>，</w:t>
      </w:r>
      <w:r>
        <w:rPr>
          <w:rFonts w:hint="eastAsia" w:ascii="宋体" w:hAnsi="宋体"/>
          <w:sz w:val="28"/>
          <w:szCs w:val="28"/>
        </w:rPr>
        <w:t>“理财”越来越成为人民群众的“刚需”。</w:t>
      </w:r>
    </w:p>
    <w:p>
      <w:pPr>
        <w:spacing w:line="360" w:lineRule="auto"/>
        <w:ind w:firstLine="560" w:firstLineChars="200"/>
        <w:rPr>
          <w:rFonts w:ascii="宋体"/>
          <w:sz w:val="28"/>
          <w:szCs w:val="28"/>
        </w:rPr>
      </w:pPr>
      <w:r>
        <w:rPr>
          <w:rFonts w:ascii="宋体" w:hAnsi="宋体"/>
          <w:sz w:val="28"/>
          <w:szCs w:val="28"/>
        </w:rPr>
        <w:t>2016</w:t>
      </w:r>
      <w:r>
        <w:rPr>
          <w:rFonts w:hint="eastAsia" w:ascii="宋体" w:hAnsi="宋体"/>
          <w:sz w:val="28"/>
          <w:szCs w:val="28"/>
        </w:rPr>
        <w:t>年，协会和上海市质协用户评价中心联合《开展公众金融理财行为的社会调查》，调查结果显示，在购买理财产品时，</w:t>
      </w:r>
      <w:r>
        <w:rPr>
          <w:rFonts w:ascii="宋体" w:hAnsi="宋体"/>
          <w:sz w:val="28"/>
          <w:szCs w:val="28"/>
        </w:rPr>
        <w:t>21.5%</w:t>
      </w:r>
      <w:r>
        <w:rPr>
          <w:rFonts w:hint="eastAsia" w:ascii="宋体" w:hAnsi="宋体"/>
          <w:sz w:val="28"/>
          <w:szCs w:val="28"/>
        </w:rPr>
        <w:t>的公众不清楚理财产品说明书中的信息，近半数的公众不能识别金融机构中的专业理财师，对“金融企业服务质量”较为看重。这说明，在社会公众金融理财需求迅速增强的今天，仍然有相当数量公众对金融理财产品信息不了解，对金融理财产品风险意识还缺乏，金融理财师高质量专业性服务仍然缺位。</w:t>
      </w:r>
    </w:p>
    <w:p>
      <w:pPr>
        <w:spacing w:line="360" w:lineRule="auto"/>
        <w:ind w:firstLine="560" w:firstLineChars="200"/>
        <w:rPr>
          <w:rFonts w:hint="eastAsia" w:ascii="宋体" w:hAnsi="宋体"/>
          <w:sz w:val="28"/>
          <w:szCs w:val="28"/>
          <w:lang w:val="en-US" w:eastAsia="zh-CN"/>
        </w:rPr>
      </w:pPr>
      <w:r>
        <w:rPr>
          <w:rFonts w:hint="eastAsia" w:ascii="宋体" w:hAnsi="宋体"/>
          <w:sz w:val="28"/>
          <w:szCs w:val="28"/>
        </w:rPr>
        <w:t>金融服务的满意度来自于社会公众，其很大程度上取决于金融理财师队伍服务质量，本次调研数据来看，金融理财从业人员对目前工作的满意度一般，其工作满意度和他们的学历、理财工作年限、客户年限呈正相关，可见提升金融理财从业人员队伍</w:t>
      </w:r>
      <w:r>
        <w:rPr>
          <w:rFonts w:hint="eastAsia" w:ascii="宋体" w:hAnsi="宋体"/>
          <w:sz w:val="28"/>
          <w:szCs w:val="28"/>
          <w:lang w:val="en-US" w:eastAsia="zh-CN"/>
        </w:rPr>
        <w:t>对本职工作</w:t>
      </w:r>
      <w:r>
        <w:rPr>
          <w:rFonts w:hint="eastAsia" w:ascii="宋体" w:hAnsi="宋体"/>
          <w:sz w:val="28"/>
          <w:szCs w:val="28"/>
        </w:rPr>
        <w:t>满意度，是提升社会公众满意度的基础</w:t>
      </w:r>
      <w:r>
        <w:rPr>
          <w:rFonts w:hint="eastAsia" w:ascii="宋体" w:hAnsi="宋体"/>
          <w:sz w:val="28"/>
          <w:szCs w:val="28"/>
          <w:lang w:eastAsia="zh-CN"/>
        </w:rPr>
        <w:t>，</w:t>
      </w:r>
      <w:r>
        <w:rPr>
          <w:rFonts w:hint="eastAsia" w:ascii="宋体" w:hAnsi="宋体"/>
          <w:sz w:val="28"/>
          <w:szCs w:val="28"/>
          <w:lang w:val="en-US" w:eastAsia="zh-CN"/>
        </w:rPr>
        <w:t>高素质理财师队伍是提升服务质量、</w:t>
      </w:r>
      <w:r>
        <w:rPr>
          <w:rFonts w:hint="eastAsia" w:ascii="宋体" w:hAnsi="宋体"/>
          <w:sz w:val="28"/>
          <w:szCs w:val="28"/>
        </w:rPr>
        <w:t>公众</w:t>
      </w:r>
      <w:r>
        <w:rPr>
          <w:rFonts w:hint="eastAsia" w:ascii="宋体" w:hAnsi="宋体"/>
          <w:sz w:val="28"/>
          <w:szCs w:val="28"/>
          <w:lang w:val="en-US" w:eastAsia="zh-CN"/>
        </w:rPr>
        <w:t>满意度的必然。</w:t>
      </w:r>
    </w:p>
    <w:p>
      <w:pPr>
        <w:spacing w:line="360" w:lineRule="auto"/>
        <w:ind w:firstLine="560" w:firstLineChars="200"/>
        <w:rPr>
          <w:rFonts w:ascii="宋体"/>
          <w:sz w:val="28"/>
          <w:szCs w:val="28"/>
        </w:rPr>
      </w:pPr>
      <w:r>
        <w:rPr>
          <w:rFonts w:hint="eastAsia" w:ascii="宋体" w:hAnsi="宋体"/>
          <w:sz w:val="28"/>
          <w:szCs w:val="28"/>
        </w:rPr>
        <w:t>本次调研数据来看，上海金融理财从业人员中管理客户规模在</w:t>
      </w:r>
      <w:r>
        <w:rPr>
          <w:rFonts w:ascii="宋体" w:hAnsi="宋体"/>
          <w:sz w:val="28"/>
          <w:szCs w:val="28"/>
        </w:rPr>
        <w:t>100</w:t>
      </w:r>
      <w:r>
        <w:rPr>
          <w:rFonts w:hint="eastAsia" w:ascii="宋体" w:hAnsi="宋体"/>
          <w:sz w:val="28"/>
          <w:szCs w:val="28"/>
        </w:rPr>
        <w:t>位以上的占</w:t>
      </w:r>
      <w:r>
        <w:rPr>
          <w:rFonts w:ascii="宋体" w:hAnsi="宋体"/>
          <w:sz w:val="28"/>
          <w:szCs w:val="28"/>
        </w:rPr>
        <w:t>53.4%</w:t>
      </w:r>
      <w:r>
        <w:rPr>
          <w:rFonts w:hint="eastAsia" w:ascii="宋体" w:hAnsi="宋体"/>
          <w:sz w:val="28"/>
          <w:szCs w:val="28"/>
        </w:rPr>
        <w:t>，但</w:t>
      </w:r>
      <w:r>
        <w:rPr>
          <w:rFonts w:ascii="宋体" w:hAnsi="宋体"/>
          <w:sz w:val="28"/>
          <w:szCs w:val="28"/>
        </w:rPr>
        <w:t>44.4%</w:t>
      </w:r>
      <w:r>
        <w:rPr>
          <w:rFonts w:hint="eastAsia" w:ascii="宋体" w:hAnsi="宋体"/>
          <w:sz w:val="28"/>
          <w:szCs w:val="28"/>
        </w:rPr>
        <w:t>的从业人员的客户中核心客户的占比仅为</w:t>
      </w:r>
      <w:r>
        <w:rPr>
          <w:rFonts w:ascii="宋体" w:hAnsi="宋体"/>
          <w:sz w:val="28"/>
          <w:szCs w:val="28"/>
        </w:rPr>
        <w:t>10%-20%</w:t>
      </w:r>
      <w:r>
        <w:rPr>
          <w:rFonts w:hint="eastAsia" w:ascii="宋体" w:hAnsi="宋体"/>
          <w:sz w:val="28"/>
          <w:szCs w:val="28"/>
        </w:rPr>
        <w:t>，</w:t>
      </w:r>
      <w:r>
        <w:rPr>
          <w:rFonts w:ascii="宋体" w:hAnsi="宋体"/>
          <w:sz w:val="28"/>
          <w:szCs w:val="28"/>
        </w:rPr>
        <w:t>35.7%</w:t>
      </w:r>
      <w:r>
        <w:rPr>
          <w:rFonts w:hint="eastAsia" w:ascii="宋体" w:hAnsi="宋体"/>
          <w:sz w:val="28"/>
          <w:szCs w:val="28"/>
        </w:rPr>
        <w:t>的从业人员的客户中核心客户的占比为</w:t>
      </w:r>
      <w:r>
        <w:rPr>
          <w:rFonts w:ascii="宋体" w:hAnsi="宋体"/>
          <w:sz w:val="28"/>
          <w:szCs w:val="28"/>
        </w:rPr>
        <w:t>10%</w:t>
      </w:r>
      <w:r>
        <w:rPr>
          <w:rFonts w:hint="eastAsia" w:ascii="宋体" w:hAnsi="宋体"/>
          <w:sz w:val="28"/>
          <w:szCs w:val="28"/>
        </w:rPr>
        <w:t>及以下。这从一个侧面反映出，公众对于上海金融理财服务的满意度还有待进一步提升。</w:t>
      </w:r>
    </w:p>
    <w:p>
      <w:pPr>
        <w:spacing w:line="360" w:lineRule="auto"/>
        <w:ind w:firstLine="570"/>
        <w:rPr>
          <w:rFonts w:ascii="宋体"/>
          <w:sz w:val="28"/>
          <w:szCs w:val="28"/>
        </w:rPr>
      </w:pPr>
      <w:r>
        <w:rPr>
          <w:rFonts w:ascii="宋体" w:hAnsi="宋体"/>
          <w:sz w:val="28"/>
          <w:szCs w:val="28"/>
        </w:rPr>
        <w:t xml:space="preserve">2. </w:t>
      </w:r>
      <w:r>
        <w:rPr>
          <w:rFonts w:hint="eastAsia" w:ascii="宋体" w:hAnsi="宋体"/>
          <w:sz w:val="28"/>
          <w:szCs w:val="28"/>
        </w:rPr>
        <w:t>“三服务”既是协会宗旨更是基础工作。“服务会员、服务行业、服务社会”是协会之宗旨，但同时也是协会的基础工作。</w:t>
      </w:r>
    </w:p>
    <w:p>
      <w:pPr>
        <w:spacing w:line="360" w:lineRule="auto"/>
        <w:ind w:firstLine="570"/>
        <w:rPr>
          <w:rFonts w:ascii="宋体"/>
          <w:sz w:val="28"/>
          <w:szCs w:val="28"/>
        </w:rPr>
      </w:pPr>
      <w:r>
        <w:rPr>
          <w:rFonts w:hint="eastAsia" w:ascii="宋体" w:hAnsi="宋体"/>
          <w:sz w:val="28"/>
          <w:szCs w:val="28"/>
        </w:rPr>
        <w:t>三年来，协会摸索履行协会宗旨夯实工作基础的方法和途径。“三服务”是递进关系。首先立足服务好会员，着力提高会员的综合技能和社会竞争力。人才具有层次之分，作为社会组织应侧重为面向社会群众服务的基层会员提供服务，并以有效服务赢得企业认同；其次服务好行业，在银、证、保、基金等金融分业经营的情况下顺应金融理财客观需求，整合不同业态优势提升理财从业人员综合能力，提高金融理财服务专业能力和整体水平；再者，开展形式多样的金融知识宣传教育活动，推进普惠金融服务满足社会需求，让人民群众满意。</w:t>
      </w:r>
    </w:p>
    <w:p>
      <w:pPr>
        <w:spacing w:line="360" w:lineRule="auto"/>
        <w:ind w:firstLine="570"/>
        <w:rPr>
          <w:rFonts w:ascii="宋体"/>
          <w:sz w:val="28"/>
          <w:szCs w:val="28"/>
        </w:rPr>
      </w:pPr>
      <w:r>
        <w:rPr>
          <w:rFonts w:hint="eastAsia" w:ascii="宋体" w:hAnsi="宋体"/>
          <w:sz w:val="28"/>
          <w:szCs w:val="28"/>
        </w:rPr>
        <w:t>为此，协会先后组织开展金融理财师“品质生活提升计划”，其“开心剧场</w:t>
      </w:r>
      <w:r>
        <w:rPr>
          <w:rFonts w:ascii="宋体" w:hAnsi="宋体"/>
          <w:sz w:val="28"/>
          <w:szCs w:val="28"/>
        </w:rPr>
        <w:t>—</w:t>
      </w:r>
      <w:r>
        <w:rPr>
          <w:rFonts w:hint="eastAsia" w:ascii="宋体" w:hAnsi="宋体"/>
          <w:sz w:val="28"/>
          <w:szCs w:val="28"/>
        </w:rPr>
        <w:t>我该怎么办”等活动获得理财师广泛好评。组织金融系统</w:t>
      </w:r>
      <w:r>
        <w:rPr>
          <w:rFonts w:ascii="宋体" w:hAnsi="宋体"/>
          <w:sz w:val="28"/>
          <w:szCs w:val="28"/>
        </w:rPr>
        <w:t>5400</w:t>
      </w:r>
      <w:r>
        <w:rPr>
          <w:rFonts w:hint="eastAsia" w:ascii="宋体" w:hAnsi="宋体"/>
          <w:sz w:val="28"/>
          <w:szCs w:val="28"/>
        </w:rPr>
        <w:t>余人参加的“享理财·防风险”和“防风险·强技能”金融服务大赛，优胜个人和团队获“上海市五一劳动奖章”“工人先锋号”荣誉称号，并纳入上海市总工会职工技能立功竞赛专项活动。同时，开展“享理财</w:t>
      </w:r>
      <w:r>
        <w:rPr>
          <w:rFonts w:ascii="宋体"/>
          <w:sz w:val="28"/>
          <w:szCs w:val="28"/>
        </w:rPr>
        <w:t>--</w:t>
      </w:r>
      <w:r>
        <w:rPr>
          <w:rFonts w:hint="eastAsia" w:ascii="宋体" w:hAnsi="宋体"/>
          <w:sz w:val="28"/>
          <w:szCs w:val="28"/>
        </w:rPr>
        <w:t>金融服务在社区”公益活动，开展</w:t>
      </w:r>
      <w:r>
        <w:rPr>
          <w:rFonts w:ascii="宋体" w:hAnsi="宋体"/>
          <w:sz w:val="28"/>
          <w:szCs w:val="28"/>
        </w:rPr>
        <w:t>1+34</w:t>
      </w:r>
      <w:r>
        <w:rPr>
          <w:rFonts w:hint="eastAsia" w:ascii="宋体" w:hAnsi="宋体"/>
          <w:sz w:val="28"/>
          <w:szCs w:val="28"/>
        </w:rPr>
        <w:t>模式的“普惠金融大讲堂”；网站、微信平台“光影世界”摄影作品展示；“金健康”服务平台等多项活动，提升协会服务会员、服务行业、服务社会的能力。</w:t>
      </w:r>
    </w:p>
    <w:p>
      <w:pPr>
        <w:numPr>
          <w:ilvl w:val="0"/>
          <w:numId w:val="7"/>
        </w:numPr>
        <w:spacing w:line="360" w:lineRule="auto"/>
        <w:ind w:firstLine="560" w:firstLineChars="200"/>
        <w:rPr>
          <w:rFonts w:hint="eastAsia" w:ascii="宋体" w:hAnsi="宋体"/>
          <w:sz w:val="28"/>
          <w:szCs w:val="28"/>
        </w:rPr>
      </w:pPr>
      <w:r>
        <w:rPr>
          <w:rFonts w:hint="eastAsia" w:ascii="宋体" w:hAnsi="宋体"/>
          <w:sz w:val="28"/>
          <w:szCs w:val="28"/>
        </w:rPr>
        <w:t>打铁需得自身硬，切实增强提升社会满意度的软实力。从调查数据看，上海金融理财从业人员学历本科占大多数；理财从业经历较短，岗位服务</w:t>
      </w:r>
      <w:r>
        <w:rPr>
          <w:rFonts w:ascii="宋体" w:hAnsi="宋体"/>
          <w:sz w:val="28"/>
          <w:szCs w:val="28"/>
        </w:rPr>
        <w:t>5</w:t>
      </w:r>
      <w:r>
        <w:rPr>
          <w:rFonts w:hint="eastAsia" w:ascii="宋体" w:hAnsi="宋体"/>
          <w:sz w:val="28"/>
          <w:szCs w:val="28"/>
        </w:rPr>
        <w:t>年以下占</w:t>
      </w:r>
      <w:r>
        <w:rPr>
          <w:rFonts w:ascii="宋体" w:hAnsi="宋体"/>
          <w:sz w:val="28"/>
          <w:szCs w:val="28"/>
        </w:rPr>
        <w:t>57.2%</w:t>
      </w:r>
      <w:r>
        <w:rPr>
          <w:rFonts w:hint="eastAsia" w:ascii="宋体" w:hAnsi="宋体"/>
          <w:sz w:val="28"/>
          <w:szCs w:val="28"/>
        </w:rPr>
        <w:t>；客户对象流动大，</w:t>
      </w:r>
      <w:r>
        <w:rPr>
          <w:rFonts w:ascii="宋体" w:hAnsi="宋体"/>
          <w:sz w:val="28"/>
          <w:szCs w:val="28"/>
        </w:rPr>
        <w:t>5</w:t>
      </w:r>
      <w:r>
        <w:rPr>
          <w:rFonts w:hint="eastAsia" w:ascii="宋体" w:hAnsi="宋体"/>
          <w:sz w:val="28"/>
          <w:szCs w:val="28"/>
        </w:rPr>
        <w:t>年以上客户比例在</w:t>
      </w:r>
      <w:r>
        <w:rPr>
          <w:rFonts w:ascii="宋体" w:hAnsi="宋体"/>
          <w:sz w:val="28"/>
          <w:szCs w:val="28"/>
        </w:rPr>
        <w:t>10%-30%</w:t>
      </w:r>
      <w:r>
        <w:rPr>
          <w:rFonts w:hint="eastAsia" w:ascii="宋体" w:hAnsi="宋体"/>
          <w:sz w:val="28"/>
          <w:szCs w:val="28"/>
        </w:rPr>
        <w:t>，理财业务纠纷除客户对理财产品认知的偏差问题外，存在着理财师业务误导销售问题，及产品管理人能力或诚信问题。</w:t>
      </w:r>
    </w:p>
    <w:p>
      <w:pPr>
        <w:numPr>
          <w:ilvl w:val="0"/>
          <w:numId w:val="0"/>
        </w:numPr>
        <w:spacing w:line="360" w:lineRule="auto"/>
        <w:ind w:firstLine="560" w:firstLineChars="200"/>
        <w:rPr>
          <w:rFonts w:ascii="宋体"/>
          <w:sz w:val="28"/>
          <w:szCs w:val="28"/>
        </w:rPr>
      </w:pPr>
      <w:r>
        <w:rPr>
          <w:rFonts w:hint="eastAsia" w:ascii="宋体" w:hAnsi="宋体"/>
          <w:sz w:val="28"/>
          <w:szCs w:val="28"/>
        </w:rPr>
        <w:t>随着中国经济快速增长，个人财富增加，提供个性化、多元化、一站式金融理财服务是人民群众的客观需求。调查数据显示，客户平均可投资金额在</w:t>
      </w:r>
      <w:r>
        <w:rPr>
          <w:rFonts w:ascii="宋体" w:hAnsi="宋体"/>
          <w:sz w:val="28"/>
          <w:szCs w:val="28"/>
        </w:rPr>
        <w:t>20-50</w:t>
      </w:r>
      <w:r>
        <w:rPr>
          <w:rFonts w:hint="eastAsia" w:ascii="宋体" w:hAnsi="宋体"/>
          <w:sz w:val="28"/>
          <w:szCs w:val="28"/>
        </w:rPr>
        <w:t>万和</w:t>
      </w:r>
      <w:r>
        <w:rPr>
          <w:rFonts w:ascii="宋体" w:hAnsi="宋体"/>
          <w:sz w:val="28"/>
          <w:szCs w:val="28"/>
        </w:rPr>
        <w:t>50-100</w:t>
      </w:r>
      <w:r>
        <w:rPr>
          <w:rFonts w:hint="eastAsia" w:ascii="宋体" w:hAnsi="宋体"/>
          <w:sz w:val="28"/>
          <w:szCs w:val="28"/>
        </w:rPr>
        <w:t>万的占比最多，分别为</w:t>
      </w:r>
      <w:r>
        <w:rPr>
          <w:rFonts w:ascii="宋体" w:hAnsi="宋体"/>
          <w:sz w:val="28"/>
          <w:szCs w:val="28"/>
        </w:rPr>
        <w:t>31.3%</w:t>
      </w:r>
      <w:r>
        <w:rPr>
          <w:rFonts w:hint="eastAsia" w:ascii="宋体" w:hAnsi="宋体"/>
          <w:sz w:val="28"/>
          <w:szCs w:val="28"/>
        </w:rPr>
        <w:t>和</w:t>
      </w:r>
      <w:r>
        <w:rPr>
          <w:rFonts w:ascii="宋体" w:hAnsi="宋体"/>
          <w:sz w:val="28"/>
          <w:szCs w:val="28"/>
        </w:rPr>
        <w:t>27.6%</w:t>
      </w:r>
      <w:r>
        <w:rPr>
          <w:rFonts w:hint="eastAsia" w:ascii="宋体" w:hAnsi="宋体"/>
          <w:sz w:val="28"/>
          <w:szCs w:val="28"/>
        </w:rPr>
        <w:t>；但金融理财服务队伍的整体素质与客户需求仍存在较大差距</w:t>
      </w:r>
      <w:r>
        <w:rPr>
          <w:rFonts w:hint="eastAsia" w:ascii="宋体" w:hAnsi="宋体"/>
          <w:sz w:val="28"/>
          <w:szCs w:val="28"/>
          <w:lang w:eastAsia="zh-CN"/>
        </w:rPr>
        <w:t>。</w:t>
      </w:r>
    </w:p>
    <w:p>
      <w:pPr>
        <w:spacing w:line="360" w:lineRule="auto"/>
        <w:ind w:firstLine="560" w:firstLineChars="200"/>
        <w:rPr>
          <w:rFonts w:ascii="宋体"/>
          <w:sz w:val="28"/>
          <w:szCs w:val="28"/>
        </w:rPr>
      </w:pPr>
      <w:r>
        <w:rPr>
          <w:rFonts w:hint="eastAsia" w:ascii="宋体" w:hAnsi="宋体"/>
          <w:sz w:val="28"/>
          <w:szCs w:val="28"/>
        </w:rPr>
        <w:t>金融理财服务是一项综合性、专业性、实操性很强的职业技能，金融理财服务的精髓在于帮助客户提供整体理财</w:t>
      </w:r>
      <w:bookmarkStart w:id="12" w:name="_Hlk503171018"/>
      <w:r>
        <w:rPr>
          <w:rFonts w:hint="eastAsia" w:ascii="宋体" w:hAnsi="宋体"/>
          <w:sz w:val="28"/>
          <w:szCs w:val="28"/>
        </w:rPr>
        <w:t>投资</w:t>
      </w:r>
      <w:bookmarkEnd w:id="12"/>
      <w:r>
        <w:rPr>
          <w:rFonts w:hint="eastAsia" w:ascii="宋体" w:hAnsi="宋体"/>
          <w:sz w:val="28"/>
          <w:szCs w:val="28"/>
        </w:rPr>
        <w:t>规划，其关键在人。锻造更加综合性、专业化的金融理财服务队伍，是</w:t>
      </w:r>
      <w:r>
        <w:rPr>
          <w:rFonts w:hint="eastAsia" w:ascii="宋体" w:hAnsi="宋体"/>
          <w:kern w:val="2"/>
          <w:sz w:val="28"/>
          <w:szCs w:val="28"/>
        </w:rPr>
        <w:t>金融业自身转型发展的需要，是金融监管风险防范的需要，是理财从业人员职业发展的需要，是互联网金融健康成长的需要，更是满足社会公众理财的需要，是</w:t>
      </w:r>
      <w:r>
        <w:rPr>
          <w:rFonts w:hint="eastAsia" w:ascii="宋体" w:hAnsi="宋体"/>
          <w:sz w:val="28"/>
          <w:szCs w:val="28"/>
        </w:rPr>
        <w:t>提升金融理财服务社会满意度的重要环节，时不我待。</w:t>
      </w:r>
    </w:p>
    <w:p>
      <w:pPr>
        <w:spacing w:line="360" w:lineRule="auto"/>
        <w:ind w:firstLine="560" w:firstLineChars="200"/>
        <w:rPr>
          <w:rFonts w:ascii="宋体"/>
          <w:sz w:val="28"/>
          <w:szCs w:val="28"/>
        </w:rPr>
      </w:pPr>
      <w:r>
        <w:rPr>
          <w:rFonts w:hint="eastAsia" w:ascii="宋体" w:hAnsi="宋体"/>
          <w:sz w:val="28"/>
          <w:szCs w:val="28"/>
        </w:rPr>
        <w:t>因而，首先要加强社会主义核心价值观教育，树立正确健康的金融理财服务理念。核心价值观内涵丰富，其中敬业、诚信是</w:t>
      </w:r>
      <w:bookmarkStart w:id="13" w:name="_Hlk503171068"/>
      <w:r>
        <w:rPr>
          <w:rFonts w:hint="eastAsia" w:ascii="宋体" w:hAnsi="宋体"/>
          <w:sz w:val="28"/>
          <w:szCs w:val="28"/>
        </w:rPr>
        <w:t>金融理财</w:t>
      </w:r>
      <w:bookmarkEnd w:id="13"/>
      <w:r>
        <w:rPr>
          <w:rFonts w:hint="eastAsia" w:ascii="宋体" w:hAnsi="宋体"/>
          <w:sz w:val="28"/>
          <w:szCs w:val="28"/>
        </w:rPr>
        <w:t>师需要坚持的基本准则，坚持知行合一，将敬业、诚信融入到具体为客户服务之中，自觉抵制误导销售行为。其次要加强遵纪守法职业道德教育，维护金融消费者合法权益。坚持公正、法治原则应是理财师必须坚守的工作底线，近年因理财频发的群体事件，都与非法集资、违规操作等相关联，明知错误故而为之，结果误人误己。再者要拓宽专业学习渠道，丰富金融理财知识面，掌握理财服务技能。调查显示，理财师期望“系统性的执照考试学习”、专业财富管理线上学习，以及提高金融产品分析判断能力、家庭理财规划架构能力等。锻造综合性、专业化的金融理财队伍，应真正体现“不忘本来、吸收外来、面向未来”的要求，开展多种形式的在岗学习、以赛代训、社会实践等，以适应社会发展满足群众理财之需求。同时，应整合社会组织协调作用，加强校企联动，促进基础人才培养，建设金融理财后备队伍。</w:t>
      </w:r>
    </w:p>
    <w:p>
      <w:pPr>
        <w:spacing w:line="360" w:lineRule="auto"/>
        <w:ind w:firstLine="602" w:firstLineChars="200"/>
        <w:rPr>
          <w:rFonts w:ascii="宋体"/>
          <w:b/>
          <w:bCs/>
          <w:sz w:val="30"/>
          <w:szCs w:val="30"/>
        </w:rPr>
      </w:pPr>
      <w:r>
        <w:rPr>
          <w:rFonts w:hint="eastAsia" w:ascii="宋体" w:hAnsi="宋体"/>
          <w:b/>
          <w:bCs/>
          <w:sz w:val="30"/>
          <w:szCs w:val="30"/>
        </w:rPr>
        <w:t>（二）以增强金融风险防范意识为重要内容，营造“公正、诚信、高效”的金融理财生态环境</w:t>
      </w:r>
    </w:p>
    <w:p>
      <w:pPr>
        <w:spacing w:line="360" w:lineRule="auto"/>
        <w:ind w:firstLine="840" w:firstLineChars="300"/>
        <w:rPr>
          <w:rFonts w:ascii="宋体"/>
          <w:sz w:val="28"/>
          <w:szCs w:val="28"/>
        </w:rPr>
      </w:pPr>
      <w:r>
        <w:rPr>
          <w:rFonts w:ascii="宋体" w:hAnsi="宋体"/>
          <w:sz w:val="28"/>
          <w:szCs w:val="28"/>
        </w:rPr>
        <w:t>1</w:t>
      </w:r>
      <w:r>
        <w:rPr>
          <w:rFonts w:hint="eastAsia" w:ascii="宋体" w:hAnsi="宋体"/>
          <w:sz w:val="28"/>
          <w:szCs w:val="28"/>
        </w:rPr>
        <w:t>、防范金融风险是金融服务本质要求和现实需要，是协会履行“三服务”宗旨的责任和义务。</w:t>
      </w:r>
    </w:p>
    <w:p>
      <w:pPr>
        <w:spacing w:line="360" w:lineRule="auto"/>
        <w:ind w:firstLine="560" w:firstLineChars="200"/>
        <w:rPr>
          <w:rFonts w:ascii="宋体"/>
          <w:sz w:val="28"/>
          <w:szCs w:val="28"/>
        </w:rPr>
      </w:pPr>
      <w:r>
        <w:rPr>
          <w:rFonts w:hint="eastAsia" w:ascii="宋体" w:hAnsi="宋体"/>
          <w:sz w:val="28"/>
          <w:szCs w:val="28"/>
        </w:rPr>
        <w:t>目前中国理财市场还初在初级阶段，防风险是金融服务本质要求和现实需要。一是实体经济特别是中小微企业有着大量真实融资需求，但企业告贷无门。二是地方政府对具有积聚资金资源功能的金融业格外重视，纷纷出台优惠政策吸引金融机构进驻，致使类金融理财机构鱼龙混杂。三是民众有强烈的投资理财愿望，高收益的理财产品成为吸引投资者的最重要原因。四是理财风险多数与投资者缺少风险意识和风险识别能力，盲目相信营销人员的保证和过度宣传有关。随着国家实施构建开放型经济战略，自贸区开放创新以及人民币国际化进程不断加快，金融业不断涌现新业态，因监管缺少相关法律依据，监管体制、方式缺失，道德风险不断放大。</w:t>
      </w:r>
    </w:p>
    <w:p>
      <w:pPr>
        <w:spacing w:line="360" w:lineRule="auto"/>
        <w:ind w:firstLine="560" w:firstLineChars="200"/>
        <w:rPr>
          <w:rFonts w:ascii="宋体"/>
          <w:sz w:val="28"/>
          <w:szCs w:val="28"/>
        </w:rPr>
      </w:pPr>
      <w:r>
        <w:rPr>
          <w:rFonts w:hint="eastAsia" w:ascii="宋体" w:hAnsi="宋体"/>
          <w:sz w:val="28"/>
          <w:szCs w:val="28"/>
        </w:rPr>
        <w:t>为此，针对各类金融理财恶性事件频发，公众对于理财风险防范意识仍然薄弱的现状，协会结合自身特点组织《防范非法集资与规范理财服务》论坛，组织“享理财</w:t>
      </w:r>
      <w:r>
        <w:rPr>
          <w:rFonts w:ascii="宋体" w:hAnsi="宋体"/>
          <w:sz w:val="28"/>
          <w:szCs w:val="28"/>
        </w:rPr>
        <w:t>—</w:t>
      </w:r>
      <w:r>
        <w:rPr>
          <w:rFonts w:hint="eastAsia" w:ascii="宋体" w:hAnsi="宋体"/>
          <w:sz w:val="28"/>
          <w:szCs w:val="28"/>
        </w:rPr>
        <w:t>金融服务在社区”公益活动，引导公众树立正确的理财观念。活动的基本思路是，政府指导，协会协调，企业参与，社区配合，资源共享，责权相等，共建共赢。</w:t>
      </w:r>
      <w:r>
        <w:rPr>
          <w:rFonts w:ascii="宋体" w:hAnsi="宋体"/>
          <w:sz w:val="28"/>
          <w:szCs w:val="28"/>
        </w:rPr>
        <w:t>2015</w:t>
      </w:r>
      <w:r>
        <w:rPr>
          <w:rFonts w:hint="eastAsia" w:ascii="宋体" w:hAnsi="宋体"/>
          <w:sz w:val="28"/>
          <w:szCs w:val="28"/>
        </w:rPr>
        <w:t>年始，深入社区普及金融理财知识和风险防范教育，组织全市</w:t>
      </w:r>
      <w:r>
        <w:rPr>
          <w:rFonts w:ascii="宋体" w:hAnsi="宋体"/>
          <w:sz w:val="28"/>
          <w:szCs w:val="28"/>
        </w:rPr>
        <w:t>16</w:t>
      </w:r>
      <w:r>
        <w:rPr>
          <w:rFonts w:hint="eastAsia" w:ascii="宋体" w:hAnsi="宋体"/>
          <w:sz w:val="28"/>
          <w:szCs w:val="28"/>
        </w:rPr>
        <w:t>个区“享理财·防风险”社区理财达人赛活动，通过在线答题、模拟理财、撰写理财心得、网上投票。评选出了前</w:t>
      </w:r>
      <w:r>
        <w:rPr>
          <w:rFonts w:ascii="宋体" w:hAnsi="宋体"/>
          <w:sz w:val="28"/>
          <w:szCs w:val="28"/>
        </w:rPr>
        <w:t>20</w:t>
      </w:r>
      <w:r>
        <w:rPr>
          <w:rFonts w:hint="eastAsia" w:ascii="宋体" w:hAnsi="宋体"/>
          <w:sz w:val="28"/>
          <w:szCs w:val="28"/>
        </w:rPr>
        <w:t>名为</w:t>
      </w:r>
      <w:r>
        <w:rPr>
          <w:rFonts w:ascii="宋体" w:hAnsi="宋体"/>
          <w:sz w:val="28"/>
          <w:szCs w:val="28"/>
        </w:rPr>
        <w:t xml:space="preserve"> </w:t>
      </w:r>
      <w:r>
        <w:rPr>
          <w:rFonts w:hint="eastAsia" w:ascii="宋体" w:hAnsi="宋体"/>
          <w:sz w:val="28"/>
          <w:szCs w:val="28"/>
        </w:rPr>
        <w:t>“社区理财达人”；试点“金融服务面对面”公益活动，围绕社区居民关心的教育、养老、健康、资产配置、风险控制等家庭理财需求，以</w:t>
      </w:r>
      <w:r>
        <w:rPr>
          <w:rFonts w:ascii="宋体" w:hAnsi="宋体"/>
          <w:sz w:val="28"/>
          <w:szCs w:val="28"/>
        </w:rPr>
        <w:t>379</w:t>
      </w:r>
      <w:r>
        <w:rPr>
          <w:rFonts w:hint="eastAsia" w:ascii="宋体" w:hAnsi="宋体"/>
          <w:sz w:val="28"/>
          <w:szCs w:val="28"/>
        </w:rPr>
        <w:t>个东方社区信息苑和</w:t>
      </w:r>
      <w:r>
        <w:rPr>
          <w:rFonts w:ascii="宋体" w:hAnsi="宋体"/>
          <w:sz w:val="28"/>
          <w:szCs w:val="28"/>
        </w:rPr>
        <w:t>215</w:t>
      </w:r>
      <w:r>
        <w:rPr>
          <w:rFonts w:hint="eastAsia" w:ascii="宋体" w:hAnsi="宋体"/>
          <w:sz w:val="28"/>
          <w:szCs w:val="28"/>
        </w:rPr>
        <w:t>个社区志愿服务中心为面对面公益服务点，组织银行、保险</w:t>
      </w:r>
      <w:r>
        <w:rPr>
          <w:rFonts w:ascii="宋体" w:hAnsi="宋体"/>
          <w:sz w:val="28"/>
          <w:szCs w:val="28"/>
        </w:rPr>
        <w:t>10</w:t>
      </w:r>
      <w:r>
        <w:rPr>
          <w:rFonts w:hint="eastAsia" w:ascii="宋体" w:hAnsi="宋体"/>
          <w:sz w:val="28"/>
          <w:szCs w:val="28"/>
        </w:rPr>
        <w:t>家会员单位分别牵头</w:t>
      </w:r>
      <w:r>
        <w:rPr>
          <w:rFonts w:ascii="宋体" w:hAnsi="宋体"/>
          <w:sz w:val="28"/>
          <w:szCs w:val="28"/>
        </w:rPr>
        <w:t>6</w:t>
      </w:r>
      <w:r>
        <w:rPr>
          <w:rFonts w:hint="eastAsia" w:ascii="宋体" w:hAnsi="宋体"/>
          <w:sz w:val="28"/>
          <w:szCs w:val="28"/>
        </w:rPr>
        <w:t>项主题活动，在“四个统一”（统一上岗铭牌、统一服务手册、统一自律公约、统一工作日志）工作制度基础上，</w:t>
      </w:r>
      <w:r>
        <w:rPr>
          <w:rFonts w:ascii="宋体" w:hAnsi="宋体"/>
          <w:sz w:val="28"/>
          <w:szCs w:val="28"/>
        </w:rPr>
        <w:t>70</w:t>
      </w:r>
      <w:r>
        <w:rPr>
          <w:rFonts w:hint="eastAsia" w:ascii="宋体" w:hAnsi="宋体"/>
          <w:sz w:val="28"/>
          <w:szCs w:val="28"/>
        </w:rPr>
        <w:t>多名金融理财师、督导员组成的金融理财服务志愿者团队下社区。其中嘉定区新成路街道志愿者服务中心形成了“</w:t>
      </w:r>
      <w:r>
        <w:rPr>
          <w:rFonts w:ascii="宋体" w:hAnsi="宋体"/>
          <w:sz w:val="28"/>
          <w:szCs w:val="28"/>
        </w:rPr>
        <w:t>e</w:t>
      </w:r>
      <w:r>
        <w:rPr>
          <w:rFonts w:hint="eastAsia" w:ascii="宋体" w:hAnsi="宋体"/>
          <w:sz w:val="28"/>
          <w:szCs w:val="28"/>
        </w:rPr>
        <w:t>公告、点单式、驻点制、常态化”的公益活动模式，被区政府评为“最佳活动项目”。</w:t>
      </w:r>
    </w:p>
    <w:p>
      <w:pPr>
        <w:numPr>
          <w:ilvl w:val="0"/>
          <w:numId w:val="8"/>
        </w:numPr>
        <w:spacing w:line="360" w:lineRule="auto"/>
        <w:ind w:firstLine="560" w:firstLineChars="200"/>
        <w:rPr>
          <w:rFonts w:hint="eastAsia" w:ascii="宋体" w:hAnsi="宋体"/>
          <w:sz w:val="28"/>
          <w:szCs w:val="28"/>
        </w:rPr>
      </w:pPr>
      <w:r>
        <w:rPr>
          <w:rFonts w:hint="eastAsia" w:ascii="宋体" w:hAnsi="宋体"/>
          <w:sz w:val="28"/>
          <w:szCs w:val="28"/>
        </w:rPr>
        <w:t>防范金融风险具有多重性特点，社会组织在维护金融消费者合法权益中应发挥不可或缺的作用。金融风险具有多重性特点</w:t>
      </w:r>
      <w:r>
        <w:rPr>
          <w:rFonts w:hint="eastAsia" w:ascii="宋体" w:hAnsi="宋体"/>
          <w:sz w:val="28"/>
          <w:szCs w:val="28"/>
          <w:lang w:eastAsia="zh-CN"/>
        </w:rPr>
        <w:t>，</w:t>
      </w:r>
      <w:r>
        <w:rPr>
          <w:rFonts w:hint="eastAsia" w:ascii="宋体" w:hAnsi="宋体"/>
          <w:sz w:val="28"/>
          <w:szCs w:val="28"/>
        </w:rPr>
        <w:t>是指除了社会公众由于风险意识的薄弱所蕴含的风险外，金融机构</w:t>
      </w:r>
      <w:r>
        <w:rPr>
          <w:rFonts w:hint="eastAsia" w:ascii="宋体" w:hAnsi="宋体"/>
          <w:sz w:val="28"/>
          <w:szCs w:val="28"/>
          <w:lang w:val="en-US" w:eastAsia="zh-CN"/>
        </w:rPr>
        <w:t>经营管理制度缺失、理财产品雷同</w:t>
      </w:r>
      <w:r>
        <w:rPr>
          <w:rFonts w:hint="eastAsia" w:ascii="宋体" w:hAnsi="宋体"/>
          <w:sz w:val="28"/>
          <w:szCs w:val="28"/>
        </w:rPr>
        <w:t>、投资经营项目的不确定性，及金融从业人员因指标、收益、能力，甚至诚信等引发误导销售、违规操作等风险行为。因此，防范金融风险需要从多层次多角度去思考，其落点是维护金融消费者合法权益。增强金融消费者风险意识和自我保护能力，维护金融消费者合法权益是金融监管部门的重要职责，也是社会团体的社会责任，社会组织应发挥不可或缺的作用。</w:t>
      </w:r>
    </w:p>
    <w:p>
      <w:pPr>
        <w:numPr>
          <w:ilvl w:val="0"/>
          <w:numId w:val="0"/>
        </w:numPr>
        <w:spacing w:line="360" w:lineRule="auto"/>
        <w:ind w:firstLine="560" w:firstLineChars="200"/>
        <w:rPr>
          <w:rFonts w:ascii="宋体"/>
          <w:sz w:val="28"/>
          <w:szCs w:val="28"/>
        </w:rPr>
      </w:pPr>
      <w:r>
        <w:rPr>
          <w:rFonts w:hint="eastAsia" w:ascii="宋体" w:hAnsi="宋体"/>
          <w:sz w:val="28"/>
          <w:szCs w:val="28"/>
        </w:rPr>
        <w:t>防范金融风险要贯彻“研究在先、预防在先、化解在先”的工作理念，积极探索加强金融消费维权的有效载体和机制。为此，协会与东方网签订战略合作协议开展“享理财”公益活动，拟在三个方面下功夫：一是建立“信息网”。依托互联网技术，建立线上（互联网）与线下（社区网点）相结合的金融理财方面的综合服务平台。通过社区网点与互联网相结合的方式直接联系金融消费的不同群体，信息涉及面广，时效性强，影响面宽，及时了解与反馈金融消费者诉求。二是构建“防火墙”。依靠一支</w:t>
      </w:r>
      <w:r>
        <w:rPr>
          <w:rFonts w:hint="eastAsia" w:ascii="宋体" w:hAnsi="宋体"/>
          <w:sz w:val="28"/>
          <w:szCs w:val="28"/>
          <w:lang w:val="en-US" w:eastAsia="zh-CN"/>
        </w:rPr>
        <w:t>由</w:t>
      </w:r>
      <w:r>
        <w:rPr>
          <w:rFonts w:hint="eastAsia" w:ascii="宋体" w:hAnsi="宋体"/>
          <w:sz w:val="28"/>
          <w:szCs w:val="28"/>
        </w:rPr>
        <w:t>专业知识丰富、服务能力强、职业</w:t>
      </w:r>
      <w:r>
        <w:rPr>
          <w:rFonts w:hint="eastAsia" w:ascii="宋体" w:hAnsi="宋体"/>
          <w:sz w:val="28"/>
          <w:szCs w:val="28"/>
          <w:lang w:val="en-US" w:eastAsia="zh-CN"/>
        </w:rPr>
        <w:t>道德</w:t>
      </w:r>
      <w:r>
        <w:rPr>
          <w:rFonts w:hint="eastAsia" w:ascii="宋体" w:hAnsi="宋体"/>
          <w:sz w:val="28"/>
          <w:szCs w:val="28"/>
        </w:rPr>
        <w:t>修养良好的</w:t>
      </w:r>
      <w:r>
        <w:rPr>
          <w:rFonts w:hint="eastAsia" w:ascii="宋体" w:hAnsi="宋体"/>
          <w:sz w:val="28"/>
          <w:szCs w:val="28"/>
          <w:lang w:val="en-US" w:eastAsia="zh-CN"/>
        </w:rPr>
        <w:t>在岗理财从业人员和资深专家组成的</w:t>
      </w:r>
      <w:r>
        <w:rPr>
          <w:rFonts w:hint="eastAsia" w:ascii="宋体" w:hAnsi="宋体"/>
          <w:sz w:val="28"/>
          <w:szCs w:val="28"/>
        </w:rPr>
        <w:t>金融理财师队伍，为不同层面的金融消费者提供合适的</w:t>
      </w:r>
      <w:r>
        <w:rPr>
          <w:rFonts w:hint="eastAsia" w:ascii="宋体" w:hAnsi="宋体"/>
          <w:sz w:val="28"/>
          <w:szCs w:val="28"/>
          <w:lang w:val="en-US" w:eastAsia="zh-CN"/>
        </w:rPr>
        <w:t>家庭综合</w:t>
      </w:r>
      <w:r>
        <w:rPr>
          <w:rFonts w:hint="eastAsia" w:ascii="宋体" w:hAnsi="宋体"/>
          <w:sz w:val="28"/>
          <w:szCs w:val="28"/>
        </w:rPr>
        <w:t>理财</w:t>
      </w:r>
      <w:r>
        <w:rPr>
          <w:rFonts w:hint="eastAsia" w:ascii="宋体" w:hAnsi="宋体"/>
          <w:sz w:val="28"/>
          <w:szCs w:val="28"/>
          <w:lang w:val="en-US" w:eastAsia="zh-CN"/>
        </w:rPr>
        <w:t>规划咨询服务</w:t>
      </w:r>
      <w:r>
        <w:rPr>
          <w:rFonts w:hint="eastAsia" w:ascii="宋体" w:hAnsi="宋体"/>
          <w:sz w:val="28"/>
          <w:szCs w:val="28"/>
        </w:rPr>
        <w:t>，防范金融消费领域中的风险与纠纷。</w:t>
      </w:r>
      <w:r>
        <w:rPr>
          <w:rFonts w:hint="eastAsia" w:ascii="宋体" w:hAnsi="宋体"/>
          <w:sz w:val="28"/>
          <w:szCs w:val="28"/>
          <w:lang w:val="en-US" w:eastAsia="zh-CN"/>
        </w:rPr>
        <w:t>其</w:t>
      </w:r>
      <w:r>
        <w:rPr>
          <w:rFonts w:hint="eastAsia" w:ascii="宋体" w:hAnsi="宋体"/>
          <w:sz w:val="28"/>
          <w:szCs w:val="28"/>
        </w:rPr>
        <w:t>既是金融服务方式的创新，又让</w:t>
      </w:r>
      <w:r>
        <w:rPr>
          <w:rFonts w:hint="eastAsia" w:ascii="宋体" w:hAnsi="宋体"/>
          <w:sz w:val="28"/>
          <w:szCs w:val="28"/>
          <w:lang w:val="en-US" w:eastAsia="zh-CN"/>
        </w:rPr>
        <w:t>在岗理财从业人员</w:t>
      </w:r>
      <w:r>
        <w:rPr>
          <w:rFonts w:hint="eastAsia" w:ascii="宋体" w:hAnsi="宋体"/>
          <w:sz w:val="28"/>
          <w:szCs w:val="28"/>
        </w:rPr>
        <w:t>通过活动实践得到锻炼，逐步成为防范金融风险的一支重要力量。三是组建“消防队”。整合银、证、保、基金等相关行业资源及律师、法律资深专家组成讲师团和智库，开展金融诈骗案件教育，为金融消费者解疑释惑，用法律武器维护金融消费者合法权益。</w:t>
      </w:r>
    </w:p>
    <w:p>
      <w:pPr>
        <w:shd w:val="clear" w:color="auto" w:fill="FFFFFF"/>
        <w:wordWrap w:val="0"/>
        <w:spacing w:line="520" w:lineRule="atLeast"/>
        <w:ind w:firstLine="560" w:firstLineChars="200"/>
        <w:rPr>
          <w:rFonts w:ascii="宋体"/>
          <w:sz w:val="28"/>
          <w:szCs w:val="28"/>
        </w:rPr>
      </w:pPr>
      <w:r>
        <w:rPr>
          <w:rFonts w:ascii="宋体" w:hAnsi="宋体"/>
          <w:sz w:val="28"/>
          <w:szCs w:val="28"/>
        </w:rPr>
        <w:t>3</w:t>
      </w:r>
      <w:r>
        <w:rPr>
          <w:rFonts w:hint="eastAsia" w:ascii="宋体" w:hAnsi="宋体"/>
          <w:sz w:val="28"/>
          <w:szCs w:val="28"/>
        </w:rPr>
        <w:t>、防范金融风险具有长期性特点，发挥互联网技术优势，为金融理财服务从业者和消费者提供实用、便捷的工具。互联网具有突破时间、地点限制的独特优势，设计第三方应用软件运用于移动终端，将“享理财”项目内容模块化、可视化，将投资理念传播、理财信息传递和理财服务评价整合在一个平台上，呈现随时性、随身性、广覆盖的特点。</w:t>
      </w:r>
      <w:r>
        <w:rPr>
          <w:rFonts w:ascii="宋体" w:hAnsi="宋体"/>
          <w:sz w:val="28"/>
          <w:szCs w:val="28"/>
        </w:rPr>
        <w:t>2016</w:t>
      </w:r>
      <w:r>
        <w:rPr>
          <w:rFonts w:hint="eastAsia" w:ascii="宋体" w:hAnsi="宋体"/>
          <w:sz w:val="28"/>
          <w:szCs w:val="28"/>
        </w:rPr>
        <w:t>年“享理财</w:t>
      </w:r>
      <w:r>
        <w:rPr>
          <w:rFonts w:ascii="宋体" w:hAnsi="宋体"/>
          <w:sz w:val="28"/>
          <w:szCs w:val="28"/>
        </w:rPr>
        <w:t>APP</w:t>
      </w:r>
      <w:r>
        <w:rPr>
          <w:rFonts w:hint="eastAsia" w:ascii="宋体" w:hAnsi="宋体"/>
          <w:sz w:val="28"/>
          <w:szCs w:val="28"/>
        </w:rPr>
        <w:t>”上线</w:t>
      </w:r>
      <w:r>
        <w:rPr>
          <w:rFonts w:hint="eastAsia" w:ascii="宋体" w:hAnsi="宋体"/>
          <w:sz w:val="28"/>
          <w:szCs w:val="28"/>
          <w:lang w:eastAsia="zh-CN"/>
        </w:rPr>
        <w:t>，</w:t>
      </w:r>
      <w:r>
        <w:rPr>
          <w:rFonts w:hint="eastAsia" w:ascii="宋体" w:hAnsi="宋体"/>
          <w:sz w:val="28"/>
          <w:szCs w:val="28"/>
        </w:rPr>
        <w:t>其动因是，百姓想理财，保值增值；百姓怕理财，金融诈骗；百姓学理财，无从入手；百姓会理财，学好技能。其要义是：公益项目协会推进，重在普及理财提高能力；整合资源合力推进，重在风险防范规范服务；引进技术搭台推进，重在遵循原则数据分析；线上线下联动推进，重在建立互信各司其责。其功能是，活动项目模块化：金融惠民产品宣传展示、客户引流；宣传动态零距离：推送及时、反馈互动、讲求实效；电化教学碎片化：岗位教育开门办，在线教育专业强；财富规划可视化：资产配置有模型，掌握技能显成效；理财服务软件化：智能配置功能强，先行模拟长才干。“享理财</w:t>
      </w:r>
      <w:r>
        <w:rPr>
          <w:rFonts w:ascii="宋体" w:hAnsi="宋体"/>
          <w:sz w:val="28"/>
          <w:szCs w:val="28"/>
        </w:rPr>
        <w:t>APP</w:t>
      </w:r>
      <w:r>
        <w:rPr>
          <w:rFonts w:hint="eastAsia" w:ascii="宋体" w:hAnsi="宋体"/>
          <w:sz w:val="28"/>
          <w:szCs w:val="28"/>
        </w:rPr>
        <w:t>”上线后，两届金融服务大赛都使用其模拟理财功能，体现参赛的实操性。</w:t>
      </w:r>
    </w:p>
    <w:p>
      <w:pPr>
        <w:spacing w:line="360" w:lineRule="auto"/>
        <w:ind w:firstLine="602" w:firstLineChars="200"/>
        <w:rPr>
          <w:rFonts w:ascii="宋体"/>
          <w:b/>
          <w:bCs/>
          <w:sz w:val="30"/>
          <w:szCs w:val="30"/>
        </w:rPr>
      </w:pPr>
      <w:r>
        <w:rPr>
          <w:rFonts w:hint="eastAsia" w:ascii="宋体" w:hAnsi="宋体"/>
          <w:b/>
          <w:bCs/>
          <w:sz w:val="30"/>
          <w:szCs w:val="30"/>
        </w:rPr>
        <w:t>（三）以加强行业自律建设为重要途经，打造制度健全规范化智能化的金融理财服务平台</w:t>
      </w:r>
    </w:p>
    <w:p>
      <w:pPr>
        <w:spacing w:line="360" w:lineRule="auto"/>
        <w:ind w:firstLine="560" w:firstLineChars="200"/>
        <w:rPr>
          <w:rFonts w:ascii="宋体"/>
          <w:sz w:val="28"/>
          <w:szCs w:val="28"/>
        </w:rPr>
      </w:pPr>
      <w:r>
        <w:rPr>
          <w:rFonts w:ascii="宋体" w:hAnsi="宋体"/>
          <w:sz w:val="28"/>
          <w:szCs w:val="28"/>
        </w:rPr>
        <w:t>1</w:t>
      </w:r>
      <w:r>
        <w:rPr>
          <w:rFonts w:hint="eastAsia" w:ascii="宋体" w:hAnsi="宋体"/>
          <w:sz w:val="28"/>
          <w:szCs w:val="28"/>
        </w:rPr>
        <w:t>、加强组织建设，健立完善制度管理，强化行业自律。学习贯彻党的十九大精神，维护国家金融安全，社会组织应配合监管部门做好风险防范，强化行业自律。</w:t>
      </w:r>
    </w:p>
    <w:p>
      <w:pPr>
        <w:spacing w:line="360" w:lineRule="auto"/>
        <w:ind w:firstLine="560" w:firstLineChars="200"/>
        <w:rPr>
          <w:rFonts w:ascii="宋体"/>
          <w:sz w:val="28"/>
          <w:szCs w:val="28"/>
        </w:rPr>
      </w:pPr>
      <w:r>
        <w:rPr>
          <w:rFonts w:hint="eastAsia" w:ascii="宋体" w:hAnsi="宋体"/>
          <w:sz w:val="28"/>
          <w:szCs w:val="28"/>
        </w:rPr>
        <w:t>协会加强组织建设，建立党的工作小组，健全完善制度管理，先后制定并完善了《会员资格管理办法》《秘书处管理制度》《上海金融理财师专业水平认证考试考务手册》《“享理财”项目管理办法》四大类</w:t>
      </w:r>
      <w:r>
        <w:rPr>
          <w:rFonts w:ascii="宋体" w:hAnsi="宋体"/>
          <w:sz w:val="28"/>
          <w:szCs w:val="28"/>
        </w:rPr>
        <w:t>16</w:t>
      </w:r>
      <w:r>
        <w:rPr>
          <w:rFonts w:hint="eastAsia" w:ascii="宋体" w:hAnsi="宋体"/>
          <w:sz w:val="28"/>
          <w:szCs w:val="28"/>
        </w:rPr>
        <w:t>项管理办法，以及《协会个人会员年检办法》、《协会会费交纳管理办法》《协会薪酬管理办法》等，并严格遵守社会组织负责人的各项管理制度，落实重大事项报告制度；做好协会章程相关条款的修改工作；建立健全协会内控管理制度；完善协会各项规章制度和内部治理；坚持诚信守则、规范运作，这些规范化制度建设，为协会健康发展奠定了扎实的基础。同时，组建了协会金融服务讲师团和“智库”，由</w:t>
      </w:r>
      <w:r>
        <w:rPr>
          <w:rFonts w:ascii="宋体" w:hAnsi="宋体"/>
          <w:sz w:val="28"/>
          <w:szCs w:val="28"/>
        </w:rPr>
        <w:t>50</w:t>
      </w:r>
      <w:r>
        <w:rPr>
          <w:rFonts w:hint="eastAsia" w:ascii="宋体" w:hAnsi="宋体"/>
          <w:sz w:val="28"/>
          <w:szCs w:val="28"/>
        </w:rPr>
        <w:t>多位具有金融专业特长和丰富管理经验且热心公益的同志组成，协助、督促协会履行职责规范运作。</w:t>
      </w:r>
    </w:p>
    <w:p>
      <w:pPr>
        <w:spacing w:line="360" w:lineRule="auto"/>
        <w:ind w:firstLine="560" w:firstLineChars="200"/>
        <w:rPr>
          <w:rFonts w:ascii="宋体"/>
          <w:sz w:val="28"/>
          <w:szCs w:val="28"/>
        </w:rPr>
      </w:pPr>
      <w:r>
        <w:rPr>
          <w:rFonts w:hint="eastAsia" w:ascii="宋体" w:hAnsi="宋体"/>
          <w:sz w:val="28"/>
          <w:szCs w:val="28"/>
        </w:rPr>
        <w:t>同时，还应加强金融理财师的统计监测，建立完善的金融理财师预警机制，推进业务规则研究与标准建设、促进行业信用建设与信息共享、运用“监管科技”提升自律管理水平。</w:t>
      </w:r>
    </w:p>
    <w:p>
      <w:pPr>
        <w:spacing w:line="360" w:lineRule="auto"/>
        <w:ind w:firstLine="560" w:firstLineChars="200"/>
        <w:rPr>
          <w:rFonts w:ascii="宋体"/>
          <w:sz w:val="28"/>
          <w:szCs w:val="28"/>
        </w:rPr>
      </w:pPr>
      <w:r>
        <w:rPr>
          <w:rFonts w:ascii="宋体" w:hAnsi="宋体"/>
          <w:sz w:val="28"/>
          <w:szCs w:val="28"/>
        </w:rPr>
        <w:t>2</w:t>
      </w:r>
      <w:r>
        <w:rPr>
          <w:rFonts w:hint="eastAsia" w:ascii="宋体" w:hAnsi="宋体"/>
          <w:sz w:val="28"/>
          <w:szCs w:val="28"/>
        </w:rPr>
        <w:t>、建立金融理财职业能力考核评估体系，确立理财服务倡导性行业标准。</w:t>
      </w:r>
    </w:p>
    <w:p>
      <w:pPr>
        <w:spacing w:line="360" w:lineRule="auto"/>
        <w:ind w:firstLine="560" w:firstLineChars="200"/>
        <w:rPr>
          <w:rFonts w:hint="eastAsia" w:ascii="宋体" w:hAnsi="宋体"/>
          <w:sz w:val="28"/>
          <w:szCs w:val="28"/>
        </w:rPr>
      </w:pPr>
      <w:r>
        <w:rPr>
          <w:rFonts w:hint="eastAsia" w:ascii="宋体" w:hAnsi="宋体"/>
          <w:sz w:val="28"/>
          <w:szCs w:val="28"/>
        </w:rPr>
        <w:t>金融理财是金融机构面向客户提供服务的基础岗位，金融理财师职业能力水平，直接关系到金融企业服务水平和企业形象。目前，在金融分业经营、分业监管的情况下，理财岗位缺乏综合性广泛适用的考核评估体系，也未形成统一的服务标准，理财师职业能力评估大多是借鉴和参照国外金融机构的标准。</w:t>
      </w:r>
      <w:r>
        <w:rPr>
          <w:rFonts w:hint="eastAsia" w:ascii="宋体" w:hAnsi="宋体"/>
          <w:sz w:val="28"/>
          <w:szCs w:val="28"/>
          <w:lang w:val="en-US" w:eastAsia="zh-CN"/>
        </w:rPr>
        <w:t>在此，应认真区分金融理财</w:t>
      </w:r>
      <w:r>
        <w:rPr>
          <w:rFonts w:hint="eastAsia" w:ascii="宋体" w:hAnsi="宋体"/>
          <w:sz w:val="28"/>
          <w:szCs w:val="28"/>
        </w:rPr>
        <w:t>取消理财师</w:t>
      </w:r>
      <w:r>
        <w:rPr>
          <w:rFonts w:hint="eastAsia" w:ascii="宋体" w:hAnsi="宋体"/>
          <w:sz w:val="28"/>
          <w:szCs w:val="28"/>
          <w:lang w:val="en-US" w:eastAsia="zh-CN"/>
        </w:rPr>
        <w:t>从业资格</w:t>
      </w:r>
      <w:r>
        <w:rPr>
          <w:rFonts w:hint="eastAsia" w:ascii="宋体" w:hAnsi="宋体"/>
          <w:sz w:val="28"/>
          <w:szCs w:val="28"/>
        </w:rPr>
        <w:t>准入门槛</w:t>
      </w:r>
      <w:r>
        <w:rPr>
          <w:rFonts w:hint="eastAsia" w:ascii="宋体" w:hAnsi="宋体"/>
          <w:sz w:val="28"/>
          <w:szCs w:val="28"/>
          <w:lang w:val="en-US" w:eastAsia="zh-CN"/>
        </w:rPr>
        <w:t>和从事</w:t>
      </w:r>
      <w:r>
        <w:rPr>
          <w:rFonts w:hint="eastAsia" w:ascii="宋体" w:hAnsi="宋体"/>
          <w:sz w:val="28"/>
          <w:szCs w:val="28"/>
        </w:rPr>
        <w:t>理财</w:t>
      </w:r>
      <w:r>
        <w:rPr>
          <w:rFonts w:hint="eastAsia" w:ascii="宋体" w:hAnsi="宋体"/>
          <w:sz w:val="28"/>
          <w:szCs w:val="28"/>
          <w:lang w:val="en-US" w:eastAsia="zh-CN"/>
        </w:rPr>
        <w:t>服务岗位的基本要求</w:t>
      </w:r>
      <w:r>
        <w:rPr>
          <w:rFonts w:hint="eastAsia" w:ascii="宋体" w:hAnsi="宋体"/>
          <w:sz w:val="28"/>
          <w:szCs w:val="28"/>
          <w:lang w:eastAsia="zh-CN"/>
        </w:rPr>
        <w:t>，</w:t>
      </w:r>
      <w:r>
        <w:rPr>
          <w:rFonts w:hint="eastAsia" w:ascii="宋体" w:hAnsi="宋体"/>
          <w:sz w:val="28"/>
          <w:szCs w:val="28"/>
          <w:lang w:val="en-US" w:eastAsia="zh-CN"/>
        </w:rPr>
        <w:t>进一步</w:t>
      </w:r>
      <w:r>
        <w:rPr>
          <w:rFonts w:hint="eastAsia" w:ascii="宋体" w:hAnsi="宋体"/>
          <w:sz w:val="28"/>
          <w:szCs w:val="28"/>
        </w:rPr>
        <w:t>确立文化自信，建立涉及从业人员执业和管理多方面规范</w:t>
      </w:r>
      <w:r>
        <w:rPr>
          <w:rFonts w:hint="eastAsia" w:ascii="宋体" w:hAnsi="宋体"/>
          <w:sz w:val="28"/>
          <w:szCs w:val="28"/>
          <w:lang w:val="en-US" w:eastAsia="zh-CN"/>
        </w:rPr>
        <w:t>和</w:t>
      </w:r>
      <w:r>
        <w:rPr>
          <w:rFonts w:hint="eastAsia" w:ascii="宋体" w:hAnsi="宋体"/>
          <w:sz w:val="28"/>
          <w:szCs w:val="28"/>
        </w:rPr>
        <w:t>跨行业、综合性、本土化的金融理财职业能力考核评估体系，</w:t>
      </w:r>
      <w:r>
        <w:rPr>
          <w:rFonts w:hint="eastAsia" w:ascii="宋体" w:hAnsi="宋体"/>
          <w:sz w:val="28"/>
          <w:szCs w:val="28"/>
          <w:lang w:val="en-US" w:eastAsia="zh-CN"/>
        </w:rPr>
        <w:t>这</w:t>
      </w:r>
      <w:r>
        <w:rPr>
          <w:rFonts w:hint="eastAsia" w:ascii="宋体" w:hAnsi="宋体"/>
          <w:sz w:val="28"/>
          <w:szCs w:val="28"/>
        </w:rPr>
        <w:t>是建设上海国际金融中心制度建设的基础工作，与市场建设、服务主体建设和产品开发密切相关，关乎提升金融理财队伍整体水平，关乎防范金融风险的工作基础。</w:t>
      </w:r>
      <w:r>
        <w:rPr>
          <w:rFonts w:hint="eastAsia" w:ascii="宋体" w:hAnsi="宋体"/>
          <w:sz w:val="28"/>
          <w:szCs w:val="28"/>
          <w:lang w:val="en-US" w:eastAsia="zh-CN"/>
        </w:rPr>
        <w:t>这</w:t>
      </w:r>
      <w:r>
        <w:rPr>
          <w:rFonts w:hint="eastAsia" w:ascii="宋体" w:hAnsi="宋体"/>
          <w:sz w:val="28"/>
          <w:szCs w:val="28"/>
        </w:rPr>
        <w:t>是协会面临的十分具有挑战性的课题，</w:t>
      </w:r>
      <w:r>
        <w:rPr>
          <w:rFonts w:hint="eastAsia" w:ascii="宋体" w:hAnsi="宋体"/>
          <w:sz w:val="28"/>
          <w:szCs w:val="28"/>
          <w:lang w:val="en-US" w:eastAsia="zh-CN"/>
        </w:rPr>
        <w:t>数</w:t>
      </w:r>
      <w:r>
        <w:rPr>
          <w:rFonts w:hint="eastAsia" w:ascii="宋体" w:hAnsi="宋体"/>
          <w:sz w:val="28"/>
          <w:szCs w:val="28"/>
        </w:rPr>
        <w:t>万岗位从业人员入门培训、展业规范、考核评测、奖惩评估等显得十分迫切。</w:t>
      </w:r>
    </w:p>
    <w:p>
      <w:pPr>
        <w:spacing w:line="360" w:lineRule="auto"/>
        <w:ind w:firstLine="560" w:firstLineChars="200"/>
        <w:rPr>
          <w:rFonts w:ascii="宋体"/>
          <w:kern w:val="2"/>
          <w:sz w:val="28"/>
          <w:szCs w:val="28"/>
        </w:rPr>
      </w:pPr>
      <w:r>
        <w:rPr>
          <w:rFonts w:hint="eastAsia" w:ascii="宋体" w:hAnsi="宋体"/>
          <w:kern w:val="2"/>
          <w:sz w:val="28"/>
          <w:szCs w:val="28"/>
        </w:rPr>
        <w:t>协会承接原上海市人事局职业能力考试院金融理财师专业水平认证项目，目前已累计报考</w:t>
      </w:r>
      <w:r>
        <w:rPr>
          <w:rFonts w:ascii="宋体" w:hAnsi="宋体"/>
          <w:kern w:val="2"/>
          <w:sz w:val="28"/>
          <w:szCs w:val="28"/>
        </w:rPr>
        <w:t>7791</w:t>
      </w:r>
      <w:r>
        <w:rPr>
          <w:rFonts w:hint="eastAsia" w:ascii="宋体" w:hAnsi="宋体"/>
          <w:kern w:val="2"/>
          <w:sz w:val="28"/>
          <w:szCs w:val="28"/>
        </w:rPr>
        <w:t>名，有</w:t>
      </w:r>
      <w:r>
        <w:rPr>
          <w:rFonts w:ascii="宋体" w:hAnsi="宋体"/>
          <w:kern w:val="2"/>
          <w:sz w:val="28"/>
          <w:szCs w:val="28"/>
        </w:rPr>
        <w:t>1659</w:t>
      </w:r>
      <w:r>
        <w:rPr>
          <w:rFonts w:hint="eastAsia" w:ascii="宋体" w:hAnsi="宋体"/>
          <w:kern w:val="2"/>
          <w:sz w:val="28"/>
          <w:szCs w:val="28"/>
        </w:rPr>
        <w:t>人获得“金融理财师”（初、中级）证书，再版的《金融理财基础》《金融理财筹划》《金融理财务实与规范》（</w:t>
      </w:r>
      <w:r>
        <w:rPr>
          <w:rFonts w:ascii="宋体" w:hAnsi="宋体"/>
          <w:kern w:val="2"/>
          <w:sz w:val="28"/>
          <w:szCs w:val="28"/>
        </w:rPr>
        <w:t>90</w:t>
      </w:r>
      <w:r>
        <w:rPr>
          <w:rFonts w:hint="eastAsia" w:ascii="宋体" w:hAnsi="宋体"/>
          <w:kern w:val="2"/>
          <w:sz w:val="28"/>
          <w:szCs w:val="28"/>
        </w:rPr>
        <w:t>万字）教材挂在</w:t>
      </w:r>
      <w:r>
        <w:rPr>
          <w:rFonts w:ascii="宋体" w:hAnsi="宋体"/>
          <w:kern w:val="2"/>
          <w:sz w:val="28"/>
          <w:szCs w:val="28"/>
        </w:rPr>
        <w:t>APP</w:t>
      </w:r>
      <w:r>
        <w:rPr>
          <w:rFonts w:hint="eastAsia" w:ascii="宋体" w:hAnsi="宋体"/>
          <w:kern w:val="2"/>
          <w:sz w:val="28"/>
          <w:szCs w:val="28"/>
        </w:rPr>
        <w:t>手机端，初步探索建立了金融理财师培训、展业、考核等相关工作机制，为形成一支本土化、综合性、多技能的金融理财师队伍做了有益尝试。</w:t>
      </w:r>
    </w:p>
    <w:p>
      <w:pPr>
        <w:keepNext w:val="0"/>
        <w:keepLines w:val="0"/>
        <w:widowControl/>
        <w:suppressLineNumbers w:val="0"/>
        <w:shd w:val="clear" w:fill="FFFFFF"/>
        <w:spacing w:before="0" w:beforeAutospacing="1" w:after="0" w:afterAutospacing="1" w:line="240" w:lineRule="auto"/>
        <w:ind w:left="0" w:right="0" w:firstLine="638"/>
        <w:jc w:val="both"/>
        <w:rPr>
          <w:rFonts w:ascii="宋体"/>
          <w:sz w:val="28"/>
          <w:szCs w:val="28"/>
        </w:rPr>
      </w:pPr>
      <w:r>
        <w:rPr>
          <w:rFonts w:hint="eastAsia" w:ascii="宋体" w:hAnsi="宋体"/>
          <w:sz w:val="28"/>
          <w:szCs w:val="28"/>
        </w:rPr>
        <w:t>组织金融理财职业能力考核评估体系，</w:t>
      </w:r>
      <w:r>
        <w:rPr>
          <w:rFonts w:hint="eastAsia" w:ascii="宋体" w:hAnsi="宋体"/>
          <w:sz w:val="28"/>
          <w:szCs w:val="28"/>
          <w:lang w:val="en-US" w:eastAsia="zh-CN"/>
        </w:rPr>
        <w:t>应</w:t>
      </w:r>
      <w:r>
        <w:rPr>
          <w:rFonts w:hint="eastAsia" w:ascii="宋体" w:hAnsi="宋体"/>
          <w:sz w:val="28"/>
          <w:szCs w:val="28"/>
        </w:rPr>
        <w:t>在上海市总工会、金融办、市人社局指导下，依托协会金融理财专业委员会及成员单位的积极参与，协调相关行业公会及社会组织配合</w:t>
      </w:r>
      <w:r>
        <w:rPr>
          <w:rFonts w:hint="eastAsia" w:ascii="宋体" w:hAnsi="宋体"/>
          <w:sz w:val="28"/>
          <w:szCs w:val="28"/>
          <w:lang w:eastAsia="zh-CN"/>
        </w:rPr>
        <w:t>，</w:t>
      </w:r>
      <w:r>
        <w:rPr>
          <w:rFonts w:hint="default" w:ascii="_5b8b_4f53" w:hAnsi="_5b8b_4f53" w:eastAsia="_5b8b_4f53" w:cs="_5b8b_4f53"/>
          <w:b w:val="0"/>
          <w:i w:val="0"/>
          <w:caps w:val="0"/>
          <w:color w:val="000000"/>
          <w:spacing w:val="0"/>
          <w:kern w:val="0"/>
          <w:sz w:val="28"/>
          <w:szCs w:val="28"/>
          <w:shd w:val="clear" w:fill="FFFFFF"/>
          <w:lang w:val="en-US" w:eastAsia="zh-CN" w:bidi="ar"/>
        </w:rPr>
        <w:t>金融理财职业能力考评与技能竞赛活动相结合，能力考评等级与</w:t>
      </w:r>
      <w:r>
        <w:rPr>
          <w:rFonts w:hint="eastAsia" w:ascii="_5b8b_4f53" w:hAnsi="_5b8b_4f53" w:eastAsia="_5b8b_4f53" w:cs="_5b8b_4f53"/>
          <w:b w:val="0"/>
          <w:i w:val="0"/>
          <w:caps w:val="0"/>
          <w:color w:val="000000"/>
          <w:spacing w:val="0"/>
          <w:kern w:val="0"/>
          <w:sz w:val="28"/>
          <w:szCs w:val="28"/>
          <w:shd w:val="clear" w:fill="FFFFFF"/>
          <w:lang w:val="en-US" w:eastAsia="zh-CN" w:bidi="ar"/>
        </w:rPr>
        <w:t>竞赛成绩</w:t>
      </w:r>
      <w:r>
        <w:rPr>
          <w:rFonts w:hint="default" w:ascii="_5b8b_4f53" w:hAnsi="_5b8b_4f53" w:eastAsia="_5b8b_4f53" w:cs="_5b8b_4f53"/>
          <w:b w:val="0"/>
          <w:i w:val="0"/>
          <w:caps w:val="0"/>
          <w:color w:val="000000"/>
          <w:spacing w:val="0"/>
          <w:kern w:val="0"/>
          <w:sz w:val="28"/>
          <w:szCs w:val="28"/>
          <w:shd w:val="clear" w:fill="FFFFFF"/>
          <w:lang w:val="en-US" w:eastAsia="zh-CN" w:bidi="ar"/>
        </w:rPr>
        <w:t>相融合</w:t>
      </w:r>
      <w:r>
        <w:rPr>
          <w:rFonts w:hint="eastAsia" w:ascii="宋体" w:hAnsi="宋体"/>
          <w:sz w:val="28"/>
          <w:szCs w:val="28"/>
        </w:rPr>
        <w:t>；考评内容上，将原上海市人事局职业能力考试院持续</w:t>
      </w:r>
      <w:r>
        <w:rPr>
          <w:rFonts w:ascii="宋体" w:hAnsi="宋体"/>
          <w:sz w:val="28"/>
          <w:szCs w:val="28"/>
        </w:rPr>
        <w:t>10</w:t>
      </w:r>
      <w:r>
        <w:rPr>
          <w:rFonts w:hint="eastAsia" w:ascii="宋体" w:hAnsi="宋体"/>
          <w:sz w:val="28"/>
          <w:szCs w:val="28"/>
        </w:rPr>
        <w:t>年开展职业水平认证的实践和原上海市劳动局技能鉴定中心</w:t>
      </w:r>
      <w:r>
        <w:rPr>
          <w:rFonts w:ascii="宋体" w:hAnsi="宋体"/>
          <w:sz w:val="28"/>
          <w:szCs w:val="28"/>
        </w:rPr>
        <w:t>4</w:t>
      </w:r>
      <w:r>
        <w:rPr>
          <w:rFonts w:hint="eastAsia" w:ascii="宋体" w:hAnsi="宋体"/>
          <w:sz w:val="28"/>
          <w:szCs w:val="28"/>
        </w:rPr>
        <w:t>年</w:t>
      </w:r>
      <w:r>
        <w:rPr>
          <w:rFonts w:ascii="宋体" w:hAnsi="宋体"/>
          <w:sz w:val="28"/>
          <w:szCs w:val="28"/>
        </w:rPr>
        <w:t>5</w:t>
      </w:r>
      <w:r>
        <w:rPr>
          <w:rFonts w:hint="eastAsia" w:ascii="宋体" w:hAnsi="宋体"/>
          <w:sz w:val="28"/>
          <w:szCs w:val="28"/>
        </w:rPr>
        <w:t>万余员工参加职业技能鉴定工作的经验相融合，注重金融理财职业能力考核评估的普及性、实用性。一是注意金融理财职业能力考核评估是开放的体系，将培训、考试认证和行业约束三者分离，协会负责考试认证和跟踪监督会员执业行为；组织培训社会化，欢迎有条件的培训机构参与；二是注意金融理财职业技能考核评估是倡导性行业标准，不设资质门槛，重在鼓励从业人员岗位学习，重在坚持客观公正标准保证评估质量，重在赢得企业、行</w:t>
      </w:r>
      <w:r>
        <w:rPr>
          <w:rFonts w:hint="eastAsia" w:ascii="宋体" w:hAnsi="宋体"/>
          <w:kern w:val="2"/>
          <w:sz w:val="28"/>
          <w:szCs w:val="28"/>
        </w:rPr>
        <w:t>业、社会的认可</w:t>
      </w:r>
      <w:bookmarkStart w:id="14" w:name="_GoBack"/>
      <w:bookmarkEnd w:id="14"/>
      <w:r>
        <w:rPr>
          <w:rFonts w:hint="eastAsia" w:ascii="宋体" w:hAnsi="宋体"/>
          <w:kern w:val="2"/>
          <w:sz w:val="28"/>
          <w:szCs w:val="28"/>
        </w:rPr>
        <w:t>；三</w:t>
      </w:r>
      <w:r>
        <w:rPr>
          <w:rFonts w:hint="eastAsia" w:ascii="宋体" w:hAnsi="宋体"/>
          <w:sz w:val="28"/>
          <w:szCs w:val="28"/>
        </w:rPr>
        <w:t>是注意争取政府部门对考核评估的政策支持，并将职业能力优秀的金融理财从业人员纳入金融发展人才库，发挥其骨干引领作用。</w:t>
      </w:r>
    </w:p>
    <w:p>
      <w:pPr>
        <w:numPr>
          <w:ilvl w:val="0"/>
          <w:numId w:val="9"/>
        </w:numPr>
        <w:spacing w:line="360" w:lineRule="auto"/>
        <w:ind w:firstLine="560" w:firstLineChars="200"/>
        <w:rPr>
          <w:rFonts w:ascii="宋体"/>
          <w:sz w:val="28"/>
          <w:szCs w:val="28"/>
        </w:rPr>
      </w:pPr>
      <w:r>
        <w:rPr>
          <w:rFonts w:hint="eastAsia" w:ascii="宋体" w:hAnsi="宋体"/>
          <w:sz w:val="28"/>
          <w:szCs w:val="28"/>
        </w:rPr>
        <w:t>整合社会资源加强项目合作，搭建“公正、诚信、高效”的智能化金融理财服务平台。</w:t>
      </w:r>
    </w:p>
    <w:p>
      <w:pPr>
        <w:numPr>
          <w:ilvl w:val="0"/>
          <w:numId w:val="0"/>
        </w:numPr>
        <w:spacing w:line="360" w:lineRule="auto"/>
        <w:ind w:firstLine="560" w:firstLineChars="200"/>
        <w:rPr>
          <w:rFonts w:ascii="宋体"/>
          <w:sz w:val="28"/>
          <w:szCs w:val="28"/>
        </w:rPr>
      </w:pPr>
      <w:r>
        <w:rPr>
          <w:rFonts w:hint="eastAsia" w:ascii="宋体" w:hAnsi="宋体"/>
          <w:sz w:val="28"/>
          <w:szCs w:val="28"/>
        </w:rPr>
        <w:t>防范化解重大风险是未来经济工作的主线。央行制定《关于规范金融机构资产管理业务的指导意见（征求意见稿）》，资管机构受托理财，卖者要尽勤勉之责，买者要负风险之患，要求合适的产品卖给合适的投资者，还发布了筹备百行证信有限公司的公告，这将有利于理财市场环境的良性发展。社会组织应积极贯彻指导意见，努力搭建“公正、诚信、高效”的第三方服务测评平台？</w:t>
      </w:r>
    </w:p>
    <w:p>
      <w:pPr>
        <w:spacing w:line="360" w:lineRule="auto"/>
        <w:ind w:firstLine="560" w:firstLineChars="200"/>
        <w:rPr>
          <w:rFonts w:ascii="宋体"/>
          <w:sz w:val="28"/>
          <w:szCs w:val="28"/>
        </w:rPr>
      </w:pPr>
      <w:r>
        <w:rPr>
          <w:rFonts w:hint="eastAsia" w:ascii="宋体" w:hAnsi="宋体"/>
          <w:sz w:val="28"/>
          <w:szCs w:val="28"/>
        </w:rPr>
        <w:t>本报告认为，应在一行三会驻沪机构和市金融服务办的指导下，结合智慧城市建设，整合社会资源，发挥线上</w:t>
      </w:r>
      <w:r>
        <w:rPr>
          <w:rFonts w:ascii="宋体" w:hAnsi="宋体"/>
          <w:sz w:val="28"/>
          <w:szCs w:val="28"/>
        </w:rPr>
        <w:t>(</w:t>
      </w:r>
      <w:r>
        <w:rPr>
          <w:rFonts w:hint="eastAsia" w:ascii="宋体" w:hAnsi="宋体"/>
          <w:sz w:val="28"/>
          <w:szCs w:val="28"/>
        </w:rPr>
        <w:t>互联网、自助设备</w:t>
      </w:r>
      <w:r>
        <w:rPr>
          <w:rFonts w:ascii="宋体" w:hAnsi="宋体"/>
          <w:sz w:val="28"/>
          <w:szCs w:val="28"/>
        </w:rPr>
        <w:t>)</w:t>
      </w:r>
      <w:r>
        <w:rPr>
          <w:rFonts w:hint="eastAsia" w:ascii="宋体" w:hAnsi="宋体"/>
          <w:sz w:val="28"/>
          <w:szCs w:val="28"/>
        </w:rPr>
        <w:t>与线下</w:t>
      </w:r>
      <w:r>
        <w:rPr>
          <w:rFonts w:ascii="宋体" w:hAnsi="宋体"/>
          <w:sz w:val="28"/>
          <w:szCs w:val="28"/>
        </w:rPr>
        <w:t>(</w:t>
      </w:r>
      <w:r>
        <w:rPr>
          <w:rFonts w:hint="eastAsia" w:ascii="宋体" w:hAnsi="宋体"/>
          <w:sz w:val="28"/>
          <w:szCs w:val="28"/>
        </w:rPr>
        <w:t>社区网点、志愿者服务中心</w:t>
      </w:r>
      <w:r>
        <w:rPr>
          <w:rFonts w:ascii="宋体" w:hAnsi="宋体"/>
          <w:sz w:val="28"/>
          <w:szCs w:val="28"/>
        </w:rPr>
        <w:t>)</w:t>
      </w:r>
      <w:r>
        <w:rPr>
          <w:rFonts w:hint="eastAsia" w:ascii="宋体" w:hAnsi="宋体"/>
          <w:sz w:val="28"/>
          <w:szCs w:val="28"/>
        </w:rPr>
        <w:t>相结合的优势，与有共同价值取向的行业协会、金融企业、互联网企业和文化传媒企业共同打造集金融理财、产品展示、风险防范、消费维权、服务评价等功能为一体的金融服务智能化服务平台。一是在金融服务办指导下，《开展新形势类金融机构理财从业人员的现状及职业发展之调研》，摸清新形势下类金融机构理财服务的基本情况，存在问题，提出相应的职业发展对策；二是形成投资者教育、投资理财信息传播合力优势，共同构建金融投资理财风险测评和智能投顾模型等服务工具，方便群众识别理财风险，促进金融理财师提高自身服务质量，促进金融机构健康发展；三是加强与上海市职工技术协会、上海市质量协会等专业协会合作，以上海市地方性金融窗口服务标准为蓝本，发挥各自优势共同推进，建立金融理财服务</w:t>
      </w:r>
      <w:r>
        <w:rPr>
          <w:rFonts w:hint="eastAsia" w:ascii="宋体" w:hAnsi="宋体"/>
          <w:sz w:val="28"/>
          <w:szCs w:val="28"/>
          <w:lang w:val="en-US" w:eastAsia="zh-CN"/>
        </w:rPr>
        <w:t>满意度</w:t>
      </w:r>
      <w:r>
        <w:rPr>
          <w:rFonts w:hint="eastAsia" w:ascii="宋体" w:hAnsi="宋体"/>
          <w:sz w:val="28"/>
          <w:szCs w:val="28"/>
        </w:rPr>
        <w:t>第三方测评体系，为推进上海国际金融中心建设贡献力量。</w:t>
      </w:r>
    </w:p>
    <w:p>
      <w:pPr>
        <w:spacing w:line="360" w:lineRule="auto"/>
        <w:rPr>
          <w:rFonts w:ascii="宋体"/>
          <w:sz w:val="28"/>
          <w:szCs w:val="28"/>
        </w:rPr>
      </w:pPr>
      <w:r>
        <w:rPr>
          <w:rFonts w:ascii="宋体" w:hAnsi="宋体"/>
          <w:sz w:val="28"/>
          <w:szCs w:val="28"/>
        </w:rPr>
        <w:t xml:space="preserve">    </w:t>
      </w:r>
    </w:p>
    <w:p>
      <w:pPr>
        <w:spacing w:line="360" w:lineRule="auto"/>
        <w:rPr>
          <w:rFonts w:hint="eastAsia" w:ascii="宋体" w:hAnsi="宋体"/>
          <w:sz w:val="28"/>
          <w:szCs w:val="28"/>
        </w:rPr>
      </w:pPr>
      <w:r>
        <w:rPr>
          <w:rFonts w:ascii="宋体" w:hAnsi="宋体"/>
          <w:sz w:val="28"/>
          <w:szCs w:val="28"/>
        </w:rPr>
        <w:t xml:space="preserve">   </w:t>
      </w:r>
      <w:r>
        <w:rPr>
          <w:rFonts w:hint="eastAsia" w:ascii="宋体" w:hAnsi="宋体"/>
          <w:sz w:val="28"/>
          <w:szCs w:val="28"/>
        </w:rPr>
        <w:t>综上所述，就上海金融理财从业人员调研情况提出提升服务满意度，增强风险防范意识，加强行业自律等对策，是一个初浅的认识，望在多方努力下，共同实践共同提高。</w:t>
      </w:r>
    </w:p>
    <w:p>
      <w:pPr>
        <w:spacing w:line="360" w:lineRule="auto"/>
        <w:rPr>
          <w:rFonts w:hint="eastAsia" w:ascii="宋体" w:hAnsi="宋体"/>
          <w:sz w:val="28"/>
          <w:szCs w:val="28"/>
        </w:rPr>
      </w:pPr>
    </w:p>
    <w:p>
      <w:pPr>
        <w:spacing w:line="360" w:lineRule="auto"/>
        <w:rPr>
          <w:rFonts w:hint="eastAsia" w:ascii="宋体" w:hAnsi="宋体"/>
          <w:sz w:val="28"/>
          <w:szCs w:val="28"/>
        </w:rPr>
      </w:pPr>
    </w:p>
    <w:p>
      <w:pPr>
        <w:spacing w:line="360" w:lineRule="auto"/>
        <w:rPr>
          <w:rFonts w:hint="eastAsia" w:ascii="宋体" w:hAnsi="宋体" w:eastAsia="宋体"/>
          <w:sz w:val="24"/>
          <w:szCs w:val="24"/>
          <w:lang w:val="en-US" w:eastAsia="zh-CN"/>
        </w:rPr>
      </w:pPr>
      <w:r>
        <w:rPr>
          <w:rFonts w:hint="eastAsia" w:ascii="宋体" w:hAnsi="宋体"/>
          <w:sz w:val="28"/>
          <w:szCs w:val="28"/>
          <w:lang w:val="en-US" w:eastAsia="zh-CN"/>
        </w:rPr>
        <w:t xml:space="preserve">                   本课题执笔：</w:t>
      </w:r>
      <w:r>
        <w:rPr>
          <w:rFonts w:hint="eastAsia" w:ascii="宋体" w:hAnsi="宋体"/>
          <w:sz w:val="24"/>
          <w:szCs w:val="24"/>
          <w:lang w:val="en-US" w:eastAsia="zh-CN"/>
        </w:rPr>
        <w:t>卫国强、束宏、李思、章轶楠、刘巧玲</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Arial">
    <w:panose1 w:val="020B0604020202020204"/>
    <w:charset w:val="00"/>
    <w:family w:val="swiss"/>
    <w:pitch w:val="default"/>
    <w:sig w:usb0="E0002EFF" w:usb1="C0007843" w:usb2="00000009" w:usb3="00000000" w:csb0="400001FF" w:csb1="FFFF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_5b8b_4f5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41</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000000" w:sz="6" w:space="0"/>
      </w:pBdr>
      <w:snapToGrid w:val="0"/>
      <w:jc w:val="right"/>
      <w:rPr>
        <w:rFonts w:hAnsi="宋体"/>
      </w:rPr>
    </w:pPr>
    <w:r>
      <w:rPr>
        <w:rFonts w:hint="eastAsia" w:ascii="宋体" w:hAnsi="宋体"/>
      </w:rPr>
      <w:t>上海金融理财从业人员的现状及职业发展之调研</w:t>
    </w:r>
    <w:r>
      <w:rPr>
        <w:rFonts w:hAnsi="宋体"/>
      </w:rP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AB08C4"/>
    <w:multiLevelType w:val="singleLevel"/>
    <w:tmpl w:val="9AAB08C4"/>
    <w:lvl w:ilvl="0" w:tentative="0">
      <w:start w:val="3"/>
      <w:numFmt w:val="decimal"/>
      <w:lvlText w:val="%1."/>
      <w:lvlJc w:val="left"/>
      <w:pPr>
        <w:tabs>
          <w:tab w:val="left" w:pos="312"/>
        </w:tabs>
      </w:pPr>
    </w:lvl>
  </w:abstractNum>
  <w:abstractNum w:abstractNumId="1">
    <w:nsid w:val="0CAE29F6"/>
    <w:multiLevelType w:val="multilevel"/>
    <w:tmpl w:val="0CAE29F6"/>
    <w:lvl w:ilvl="0" w:tentative="0">
      <w:start w:val="2"/>
      <w:numFmt w:val="decimal"/>
      <w:suff w:val="nothing"/>
      <w:lvlText w:val="%1、"/>
      <w:lvlJc w:val="left"/>
      <w:rPr>
        <w:rFonts w:hint="default" w:ascii="Times New Roman" w:hAnsi="Times New Roman" w:cs="Times New Roman"/>
      </w:rPr>
    </w:lvl>
    <w:lvl w:ilvl="1" w:tentative="0">
      <w:start w:val="2"/>
      <w:numFmt w:val="decimal"/>
      <w:suff w:val="nothing"/>
      <w:lvlText w:val="%1、"/>
      <w:lvlJc w:val="left"/>
      <w:rPr>
        <w:rFonts w:hint="default" w:ascii="Times New Roman" w:hAnsi="Times New Roman" w:cs="Times New Roman"/>
      </w:rPr>
    </w:lvl>
    <w:lvl w:ilvl="2" w:tentative="0">
      <w:start w:val="2"/>
      <w:numFmt w:val="decimal"/>
      <w:suff w:val="nothing"/>
      <w:lvlText w:val="%1、"/>
      <w:lvlJc w:val="left"/>
      <w:rPr>
        <w:rFonts w:hint="default" w:ascii="Times New Roman" w:hAnsi="Times New Roman" w:cs="Times New Roman"/>
      </w:rPr>
    </w:lvl>
    <w:lvl w:ilvl="3" w:tentative="0">
      <w:start w:val="2"/>
      <w:numFmt w:val="decimal"/>
      <w:suff w:val="nothing"/>
      <w:lvlText w:val="%1、"/>
      <w:lvlJc w:val="left"/>
      <w:rPr>
        <w:rFonts w:hint="default" w:ascii="Times New Roman" w:hAnsi="Times New Roman" w:cs="Times New Roman"/>
      </w:rPr>
    </w:lvl>
    <w:lvl w:ilvl="4" w:tentative="0">
      <w:start w:val="2"/>
      <w:numFmt w:val="decimal"/>
      <w:suff w:val="nothing"/>
      <w:lvlText w:val="%1、"/>
      <w:lvlJc w:val="left"/>
      <w:rPr>
        <w:rFonts w:hint="default" w:ascii="Times New Roman" w:hAnsi="Times New Roman" w:cs="Times New Roman"/>
      </w:rPr>
    </w:lvl>
    <w:lvl w:ilvl="5" w:tentative="0">
      <w:start w:val="2"/>
      <w:numFmt w:val="decimal"/>
      <w:suff w:val="nothing"/>
      <w:lvlText w:val="%1、"/>
      <w:lvlJc w:val="left"/>
      <w:rPr>
        <w:rFonts w:hint="default" w:ascii="Times New Roman" w:hAnsi="Times New Roman" w:cs="Times New Roman"/>
      </w:rPr>
    </w:lvl>
    <w:lvl w:ilvl="6" w:tentative="0">
      <w:start w:val="2"/>
      <w:numFmt w:val="decimal"/>
      <w:suff w:val="nothing"/>
      <w:lvlText w:val="%1、"/>
      <w:lvlJc w:val="left"/>
      <w:rPr>
        <w:rFonts w:hint="default" w:ascii="Times New Roman" w:hAnsi="Times New Roman" w:cs="Times New Roman"/>
      </w:rPr>
    </w:lvl>
    <w:lvl w:ilvl="7" w:tentative="0">
      <w:start w:val="2"/>
      <w:numFmt w:val="decimal"/>
      <w:suff w:val="nothing"/>
      <w:lvlText w:val="%1、"/>
      <w:lvlJc w:val="left"/>
      <w:rPr>
        <w:rFonts w:hint="default" w:ascii="Times New Roman" w:hAnsi="Times New Roman" w:cs="Times New Roman"/>
      </w:rPr>
    </w:lvl>
    <w:lvl w:ilvl="8" w:tentative="0">
      <w:start w:val="2"/>
      <w:numFmt w:val="decimal"/>
      <w:suff w:val="nothing"/>
      <w:lvlText w:val="%1、"/>
      <w:lvlJc w:val="left"/>
      <w:rPr>
        <w:rFonts w:hint="default" w:ascii="Times New Roman" w:hAnsi="Times New Roman" w:cs="Times New Roman"/>
      </w:rPr>
    </w:lvl>
  </w:abstractNum>
  <w:abstractNum w:abstractNumId="2">
    <w:nsid w:val="1D285951"/>
    <w:multiLevelType w:val="singleLevel"/>
    <w:tmpl w:val="1D285951"/>
    <w:lvl w:ilvl="0" w:tentative="0">
      <w:start w:val="2"/>
      <w:numFmt w:val="decimal"/>
      <w:suff w:val="nothing"/>
      <w:lvlText w:val="%1、"/>
      <w:lvlJc w:val="left"/>
    </w:lvl>
  </w:abstractNum>
  <w:abstractNum w:abstractNumId="3">
    <w:nsid w:val="20CF4B8C"/>
    <w:multiLevelType w:val="multilevel"/>
    <w:tmpl w:val="20CF4B8C"/>
    <w:lvl w:ilvl="0" w:tentative="0">
      <w:start w:val="4"/>
      <w:numFmt w:val="decimal"/>
      <w:suff w:val="nothing"/>
      <w:lvlText w:val="%1、"/>
      <w:lvlJc w:val="left"/>
      <w:rPr>
        <w:rFonts w:hint="default" w:ascii="Times New Roman" w:hAnsi="Times New Roman" w:cs="Times New Roman"/>
      </w:rPr>
    </w:lvl>
    <w:lvl w:ilvl="1" w:tentative="0">
      <w:start w:val="4"/>
      <w:numFmt w:val="decimal"/>
      <w:suff w:val="nothing"/>
      <w:lvlText w:val="%1、"/>
      <w:lvlJc w:val="left"/>
      <w:rPr>
        <w:rFonts w:hint="default" w:ascii="Times New Roman" w:hAnsi="Times New Roman" w:cs="Times New Roman"/>
      </w:rPr>
    </w:lvl>
    <w:lvl w:ilvl="2" w:tentative="0">
      <w:start w:val="4"/>
      <w:numFmt w:val="decimal"/>
      <w:suff w:val="nothing"/>
      <w:lvlText w:val="%1、"/>
      <w:lvlJc w:val="left"/>
      <w:rPr>
        <w:rFonts w:hint="default" w:ascii="Times New Roman" w:hAnsi="Times New Roman" w:cs="Times New Roman"/>
      </w:rPr>
    </w:lvl>
    <w:lvl w:ilvl="3" w:tentative="0">
      <w:start w:val="4"/>
      <w:numFmt w:val="decimal"/>
      <w:suff w:val="nothing"/>
      <w:lvlText w:val="%1、"/>
      <w:lvlJc w:val="left"/>
      <w:rPr>
        <w:rFonts w:hint="default" w:ascii="Times New Roman" w:hAnsi="Times New Roman" w:cs="Times New Roman"/>
      </w:rPr>
    </w:lvl>
    <w:lvl w:ilvl="4" w:tentative="0">
      <w:start w:val="4"/>
      <w:numFmt w:val="decimal"/>
      <w:suff w:val="nothing"/>
      <w:lvlText w:val="%1、"/>
      <w:lvlJc w:val="left"/>
      <w:rPr>
        <w:rFonts w:hint="default" w:ascii="Times New Roman" w:hAnsi="Times New Roman" w:cs="Times New Roman"/>
      </w:rPr>
    </w:lvl>
    <w:lvl w:ilvl="5" w:tentative="0">
      <w:start w:val="4"/>
      <w:numFmt w:val="decimal"/>
      <w:suff w:val="nothing"/>
      <w:lvlText w:val="%1、"/>
      <w:lvlJc w:val="left"/>
      <w:rPr>
        <w:rFonts w:hint="default" w:ascii="Times New Roman" w:hAnsi="Times New Roman" w:cs="Times New Roman"/>
      </w:rPr>
    </w:lvl>
    <w:lvl w:ilvl="6" w:tentative="0">
      <w:start w:val="4"/>
      <w:numFmt w:val="decimal"/>
      <w:suff w:val="nothing"/>
      <w:lvlText w:val="%1、"/>
      <w:lvlJc w:val="left"/>
      <w:rPr>
        <w:rFonts w:hint="default" w:ascii="Times New Roman" w:hAnsi="Times New Roman" w:cs="Times New Roman"/>
      </w:rPr>
    </w:lvl>
    <w:lvl w:ilvl="7" w:tentative="0">
      <w:start w:val="4"/>
      <w:numFmt w:val="decimal"/>
      <w:suff w:val="nothing"/>
      <w:lvlText w:val="%1、"/>
      <w:lvlJc w:val="left"/>
      <w:rPr>
        <w:rFonts w:hint="default" w:ascii="Times New Roman" w:hAnsi="Times New Roman" w:cs="Times New Roman"/>
      </w:rPr>
    </w:lvl>
    <w:lvl w:ilvl="8" w:tentative="0">
      <w:start w:val="4"/>
      <w:numFmt w:val="decimal"/>
      <w:suff w:val="nothing"/>
      <w:lvlText w:val="%1、"/>
      <w:lvlJc w:val="left"/>
      <w:rPr>
        <w:rFonts w:hint="default" w:ascii="Times New Roman" w:hAnsi="Times New Roman" w:cs="Times New Roman"/>
      </w:rPr>
    </w:lvl>
  </w:abstractNum>
  <w:abstractNum w:abstractNumId="4">
    <w:nsid w:val="289347FC"/>
    <w:multiLevelType w:val="multilevel"/>
    <w:tmpl w:val="289347FC"/>
    <w:lvl w:ilvl="0" w:tentative="0">
      <w:start w:val="1"/>
      <w:numFmt w:val="chineseCounting"/>
      <w:suff w:val="nothing"/>
      <w:lvlText w:val="（%1）"/>
      <w:lvlJc w:val="left"/>
      <w:rPr>
        <w:rFonts w:hint="default" w:ascii="Times New Roman" w:hAnsi="Times New Roman"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326450EC"/>
    <w:multiLevelType w:val="multilevel"/>
    <w:tmpl w:val="326450EC"/>
    <w:lvl w:ilvl="0" w:tentative="0">
      <w:start w:val="6"/>
      <w:numFmt w:val="decimal"/>
      <w:suff w:val="nothing"/>
      <w:lvlText w:val="%1、"/>
      <w:lvlJc w:val="left"/>
      <w:rPr>
        <w:rFonts w:hint="default" w:ascii="Times New Roman" w:hAnsi="Times New Roman" w:cs="Times New Roman"/>
      </w:rPr>
    </w:lvl>
    <w:lvl w:ilvl="1" w:tentative="0">
      <w:start w:val="6"/>
      <w:numFmt w:val="decimal"/>
      <w:suff w:val="nothing"/>
      <w:lvlText w:val="%1、"/>
      <w:lvlJc w:val="left"/>
      <w:rPr>
        <w:rFonts w:hint="default" w:ascii="Times New Roman" w:hAnsi="Times New Roman" w:cs="Times New Roman"/>
      </w:rPr>
    </w:lvl>
    <w:lvl w:ilvl="2" w:tentative="0">
      <w:start w:val="6"/>
      <w:numFmt w:val="decimal"/>
      <w:suff w:val="nothing"/>
      <w:lvlText w:val="%1、"/>
      <w:lvlJc w:val="left"/>
      <w:rPr>
        <w:rFonts w:hint="default" w:ascii="Times New Roman" w:hAnsi="Times New Roman" w:cs="Times New Roman"/>
      </w:rPr>
    </w:lvl>
    <w:lvl w:ilvl="3" w:tentative="0">
      <w:start w:val="6"/>
      <w:numFmt w:val="decimal"/>
      <w:suff w:val="nothing"/>
      <w:lvlText w:val="%1、"/>
      <w:lvlJc w:val="left"/>
      <w:rPr>
        <w:rFonts w:hint="default" w:ascii="Times New Roman" w:hAnsi="Times New Roman" w:cs="Times New Roman"/>
      </w:rPr>
    </w:lvl>
    <w:lvl w:ilvl="4" w:tentative="0">
      <w:start w:val="6"/>
      <w:numFmt w:val="decimal"/>
      <w:suff w:val="nothing"/>
      <w:lvlText w:val="%1、"/>
      <w:lvlJc w:val="left"/>
      <w:rPr>
        <w:rFonts w:hint="default" w:ascii="Times New Roman" w:hAnsi="Times New Roman" w:cs="Times New Roman"/>
      </w:rPr>
    </w:lvl>
    <w:lvl w:ilvl="5" w:tentative="0">
      <w:start w:val="6"/>
      <w:numFmt w:val="decimal"/>
      <w:suff w:val="nothing"/>
      <w:lvlText w:val="%1、"/>
      <w:lvlJc w:val="left"/>
      <w:rPr>
        <w:rFonts w:hint="default" w:ascii="Times New Roman" w:hAnsi="Times New Roman" w:cs="Times New Roman"/>
      </w:rPr>
    </w:lvl>
    <w:lvl w:ilvl="6" w:tentative="0">
      <w:start w:val="6"/>
      <w:numFmt w:val="decimal"/>
      <w:suff w:val="nothing"/>
      <w:lvlText w:val="%1、"/>
      <w:lvlJc w:val="left"/>
      <w:rPr>
        <w:rFonts w:hint="default" w:ascii="Times New Roman" w:hAnsi="Times New Roman" w:cs="Times New Roman"/>
      </w:rPr>
    </w:lvl>
    <w:lvl w:ilvl="7" w:tentative="0">
      <w:start w:val="6"/>
      <w:numFmt w:val="decimal"/>
      <w:suff w:val="nothing"/>
      <w:lvlText w:val="%1、"/>
      <w:lvlJc w:val="left"/>
      <w:rPr>
        <w:rFonts w:hint="default" w:ascii="Times New Roman" w:hAnsi="Times New Roman" w:cs="Times New Roman"/>
      </w:rPr>
    </w:lvl>
    <w:lvl w:ilvl="8" w:tentative="0">
      <w:start w:val="6"/>
      <w:numFmt w:val="decimal"/>
      <w:suff w:val="nothing"/>
      <w:lvlText w:val="%1、"/>
      <w:lvlJc w:val="left"/>
      <w:rPr>
        <w:rFonts w:hint="default" w:ascii="Times New Roman" w:hAnsi="Times New Roman" w:cs="Times New Roman"/>
      </w:rPr>
    </w:lvl>
  </w:abstractNum>
  <w:abstractNum w:abstractNumId="6">
    <w:nsid w:val="345D0A7F"/>
    <w:multiLevelType w:val="multilevel"/>
    <w:tmpl w:val="345D0A7F"/>
    <w:lvl w:ilvl="0" w:tentative="0">
      <w:start w:val="3"/>
      <w:numFmt w:val="decimal"/>
      <w:suff w:val="nothing"/>
      <w:lvlText w:val="%1、"/>
      <w:lvlJc w:val="left"/>
      <w:rPr>
        <w:rFonts w:hint="default" w:ascii="Times New Roman" w:hAnsi="Times New Roman" w:cs="Times New Roman"/>
      </w:rPr>
    </w:lvl>
    <w:lvl w:ilvl="1" w:tentative="0">
      <w:start w:val="3"/>
      <w:numFmt w:val="decimal"/>
      <w:suff w:val="nothing"/>
      <w:lvlText w:val="%1、"/>
      <w:lvlJc w:val="left"/>
      <w:rPr>
        <w:rFonts w:hint="default" w:ascii="Times New Roman" w:hAnsi="Times New Roman" w:cs="Times New Roman"/>
      </w:rPr>
    </w:lvl>
    <w:lvl w:ilvl="2" w:tentative="0">
      <w:start w:val="3"/>
      <w:numFmt w:val="decimal"/>
      <w:suff w:val="nothing"/>
      <w:lvlText w:val="%1、"/>
      <w:lvlJc w:val="left"/>
      <w:rPr>
        <w:rFonts w:hint="default" w:ascii="Times New Roman" w:hAnsi="Times New Roman" w:cs="Times New Roman"/>
      </w:rPr>
    </w:lvl>
    <w:lvl w:ilvl="3" w:tentative="0">
      <w:start w:val="3"/>
      <w:numFmt w:val="decimal"/>
      <w:suff w:val="nothing"/>
      <w:lvlText w:val="%1、"/>
      <w:lvlJc w:val="left"/>
      <w:rPr>
        <w:rFonts w:hint="default" w:ascii="Times New Roman" w:hAnsi="Times New Roman" w:cs="Times New Roman"/>
      </w:rPr>
    </w:lvl>
    <w:lvl w:ilvl="4" w:tentative="0">
      <w:start w:val="3"/>
      <w:numFmt w:val="decimal"/>
      <w:suff w:val="nothing"/>
      <w:lvlText w:val="%1、"/>
      <w:lvlJc w:val="left"/>
      <w:rPr>
        <w:rFonts w:hint="default" w:ascii="Times New Roman" w:hAnsi="Times New Roman" w:cs="Times New Roman"/>
      </w:rPr>
    </w:lvl>
    <w:lvl w:ilvl="5" w:tentative="0">
      <w:start w:val="3"/>
      <w:numFmt w:val="decimal"/>
      <w:suff w:val="nothing"/>
      <w:lvlText w:val="%1、"/>
      <w:lvlJc w:val="left"/>
      <w:rPr>
        <w:rFonts w:hint="default" w:ascii="Times New Roman" w:hAnsi="Times New Roman" w:cs="Times New Roman"/>
      </w:rPr>
    </w:lvl>
    <w:lvl w:ilvl="6" w:tentative="0">
      <w:start w:val="3"/>
      <w:numFmt w:val="decimal"/>
      <w:suff w:val="nothing"/>
      <w:lvlText w:val="%1、"/>
      <w:lvlJc w:val="left"/>
      <w:rPr>
        <w:rFonts w:hint="default" w:ascii="Times New Roman" w:hAnsi="Times New Roman" w:cs="Times New Roman"/>
      </w:rPr>
    </w:lvl>
    <w:lvl w:ilvl="7" w:tentative="0">
      <w:start w:val="3"/>
      <w:numFmt w:val="decimal"/>
      <w:suff w:val="nothing"/>
      <w:lvlText w:val="%1、"/>
      <w:lvlJc w:val="left"/>
      <w:rPr>
        <w:rFonts w:hint="default" w:ascii="Times New Roman" w:hAnsi="Times New Roman" w:cs="Times New Roman"/>
      </w:rPr>
    </w:lvl>
    <w:lvl w:ilvl="8" w:tentative="0">
      <w:start w:val="3"/>
      <w:numFmt w:val="decimal"/>
      <w:suff w:val="nothing"/>
      <w:lvlText w:val="%1、"/>
      <w:lvlJc w:val="left"/>
      <w:rPr>
        <w:rFonts w:hint="default" w:ascii="Times New Roman" w:hAnsi="Times New Roman" w:cs="Times New Roman"/>
      </w:rPr>
    </w:lvl>
  </w:abstractNum>
  <w:abstractNum w:abstractNumId="7">
    <w:nsid w:val="64B71F13"/>
    <w:multiLevelType w:val="multilevel"/>
    <w:tmpl w:val="64B71F13"/>
    <w:lvl w:ilvl="0" w:tentative="0">
      <w:start w:val="2"/>
      <w:numFmt w:val="decimal"/>
      <w:suff w:val="nothing"/>
      <w:lvlText w:val="%1、"/>
      <w:lvlJc w:val="left"/>
      <w:rPr>
        <w:rFonts w:hint="default" w:ascii="Times New Roman" w:hAnsi="Times New Roman" w:cs="Times New Roman"/>
      </w:rPr>
    </w:lvl>
    <w:lvl w:ilvl="1" w:tentative="0">
      <w:start w:val="2"/>
      <w:numFmt w:val="decimal"/>
      <w:suff w:val="nothing"/>
      <w:lvlText w:val="%1、"/>
      <w:lvlJc w:val="left"/>
      <w:rPr>
        <w:rFonts w:hint="default" w:ascii="Times New Roman" w:hAnsi="Times New Roman" w:cs="Times New Roman"/>
      </w:rPr>
    </w:lvl>
    <w:lvl w:ilvl="2" w:tentative="0">
      <w:start w:val="2"/>
      <w:numFmt w:val="decimal"/>
      <w:suff w:val="nothing"/>
      <w:lvlText w:val="%1、"/>
      <w:lvlJc w:val="left"/>
      <w:rPr>
        <w:rFonts w:hint="default" w:ascii="Times New Roman" w:hAnsi="Times New Roman" w:cs="Times New Roman"/>
      </w:rPr>
    </w:lvl>
    <w:lvl w:ilvl="3" w:tentative="0">
      <w:start w:val="2"/>
      <w:numFmt w:val="decimal"/>
      <w:suff w:val="nothing"/>
      <w:lvlText w:val="%1、"/>
      <w:lvlJc w:val="left"/>
      <w:rPr>
        <w:rFonts w:hint="default" w:ascii="Times New Roman" w:hAnsi="Times New Roman" w:cs="Times New Roman"/>
      </w:rPr>
    </w:lvl>
    <w:lvl w:ilvl="4" w:tentative="0">
      <w:start w:val="2"/>
      <w:numFmt w:val="decimal"/>
      <w:suff w:val="nothing"/>
      <w:lvlText w:val="%1、"/>
      <w:lvlJc w:val="left"/>
      <w:rPr>
        <w:rFonts w:hint="default" w:ascii="Times New Roman" w:hAnsi="Times New Roman" w:cs="Times New Roman"/>
      </w:rPr>
    </w:lvl>
    <w:lvl w:ilvl="5" w:tentative="0">
      <w:start w:val="2"/>
      <w:numFmt w:val="decimal"/>
      <w:suff w:val="nothing"/>
      <w:lvlText w:val="%1、"/>
      <w:lvlJc w:val="left"/>
      <w:rPr>
        <w:rFonts w:hint="default" w:ascii="Times New Roman" w:hAnsi="Times New Roman" w:cs="Times New Roman"/>
      </w:rPr>
    </w:lvl>
    <w:lvl w:ilvl="6" w:tentative="0">
      <w:start w:val="2"/>
      <w:numFmt w:val="decimal"/>
      <w:suff w:val="nothing"/>
      <w:lvlText w:val="%1、"/>
      <w:lvlJc w:val="left"/>
      <w:rPr>
        <w:rFonts w:hint="default" w:ascii="Times New Roman" w:hAnsi="Times New Roman" w:cs="Times New Roman"/>
      </w:rPr>
    </w:lvl>
    <w:lvl w:ilvl="7" w:tentative="0">
      <w:start w:val="2"/>
      <w:numFmt w:val="decimal"/>
      <w:suff w:val="nothing"/>
      <w:lvlText w:val="%1、"/>
      <w:lvlJc w:val="left"/>
      <w:rPr>
        <w:rFonts w:hint="default" w:ascii="Times New Roman" w:hAnsi="Times New Roman" w:cs="Times New Roman"/>
      </w:rPr>
    </w:lvl>
    <w:lvl w:ilvl="8" w:tentative="0">
      <w:start w:val="2"/>
      <w:numFmt w:val="decimal"/>
      <w:suff w:val="nothing"/>
      <w:lvlText w:val="%1、"/>
      <w:lvlJc w:val="left"/>
      <w:rPr>
        <w:rFonts w:hint="default" w:ascii="Times New Roman" w:hAnsi="Times New Roman" w:cs="Times New Roman"/>
      </w:rPr>
    </w:lvl>
  </w:abstractNum>
  <w:abstractNum w:abstractNumId="8">
    <w:nsid w:val="77D87546"/>
    <w:multiLevelType w:val="multilevel"/>
    <w:tmpl w:val="77D87546"/>
    <w:lvl w:ilvl="0" w:tentative="0">
      <w:start w:val="3"/>
      <w:numFmt w:val="decimal"/>
      <w:suff w:val="nothing"/>
      <w:lvlText w:val="%1、"/>
      <w:lvlJc w:val="left"/>
      <w:rPr>
        <w:rFonts w:hint="default" w:ascii="Times New Roman" w:hAnsi="Times New Roman"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
    <w:abstractNumId w:val="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4">
    <w:abstractNumId w:val="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
    <w:abstractNumId w:val="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6">
    <w:abstractNumId w:val="7"/>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7">
    <w:abstractNumId w:val="0"/>
  </w:num>
  <w:num w:numId="8">
    <w:abstractNumId w:val="2"/>
  </w:num>
  <w:num w:numId="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1111"/>
    <w:rsid w:val="00031551"/>
    <w:rsid w:val="00115626"/>
    <w:rsid w:val="00164A99"/>
    <w:rsid w:val="00193FBF"/>
    <w:rsid w:val="002661FE"/>
    <w:rsid w:val="00417514"/>
    <w:rsid w:val="00491D5C"/>
    <w:rsid w:val="005162C9"/>
    <w:rsid w:val="00524F19"/>
    <w:rsid w:val="006A3A21"/>
    <w:rsid w:val="006A47B9"/>
    <w:rsid w:val="007021DC"/>
    <w:rsid w:val="00727DF9"/>
    <w:rsid w:val="00745E68"/>
    <w:rsid w:val="007B5302"/>
    <w:rsid w:val="007E3DB1"/>
    <w:rsid w:val="0081340E"/>
    <w:rsid w:val="0081546C"/>
    <w:rsid w:val="0084152D"/>
    <w:rsid w:val="00897860"/>
    <w:rsid w:val="008A2CC7"/>
    <w:rsid w:val="008E1111"/>
    <w:rsid w:val="00920452"/>
    <w:rsid w:val="0092536C"/>
    <w:rsid w:val="009B5728"/>
    <w:rsid w:val="00A24807"/>
    <w:rsid w:val="00A6647A"/>
    <w:rsid w:val="00AC7C61"/>
    <w:rsid w:val="00B2372B"/>
    <w:rsid w:val="00B30A9F"/>
    <w:rsid w:val="00B4509F"/>
    <w:rsid w:val="00BA65FE"/>
    <w:rsid w:val="00BB3D1F"/>
    <w:rsid w:val="00C31EAF"/>
    <w:rsid w:val="00D42BBC"/>
    <w:rsid w:val="00D87B52"/>
    <w:rsid w:val="00DF5BE2"/>
    <w:rsid w:val="00E25896"/>
    <w:rsid w:val="00E61127"/>
    <w:rsid w:val="00EA4860"/>
    <w:rsid w:val="00EC0BC0"/>
    <w:rsid w:val="00F07857"/>
    <w:rsid w:val="0AD83E47"/>
    <w:rsid w:val="415B3AC4"/>
    <w:rsid w:val="4BC501A4"/>
    <w:rsid w:val="53262DD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Calibri" w:hAnsi="Calibri" w:eastAsia="宋体" w:cs="Times New Roman"/>
      <w:sz w:val="24"/>
      <w:szCs w:val="24"/>
      <w:lang w:val="en-US" w:eastAsia="zh-CN" w:bidi="ar-SA"/>
    </w:rPr>
  </w:style>
  <w:style w:type="character" w:default="1" w:styleId="6">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5"/>
    <w:semiHidden/>
    <w:uiPriority w:val="99"/>
    <w:rPr>
      <w:sz w:val="18"/>
      <w:szCs w:val="18"/>
    </w:rPr>
  </w:style>
  <w:style w:type="paragraph" w:styleId="3">
    <w:name w:val="footer"/>
    <w:basedOn w:val="1"/>
    <w:link w:val="11"/>
    <w:uiPriority w:val="99"/>
    <w:rPr>
      <w:sz w:val="18"/>
      <w:szCs w:val="18"/>
    </w:rPr>
  </w:style>
  <w:style w:type="paragraph" w:styleId="4">
    <w:name w:val="header"/>
    <w:basedOn w:val="1"/>
    <w:link w:val="12"/>
    <w:uiPriority w:val="99"/>
    <w:pPr>
      <w:jc w:val="center"/>
    </w:pPr>
    <w:rPr>
      <w:sz w:val="18"/>
      <w:szCs w:val="18"/>
    </w:rPr>
  </w:style>
  <w:style w:type="paragraph" w:styleId="5">
    <w:name w:val="Title"/>
    <w:basedOn w:val="1"/>
    <w:next w:val="1"/>
    <w:link w:val="10"/>
    <w:qFormat/>
    <w:uiPriority w:val="99"/>
    <w:pPr>
      <w:jc w:val="center"/>
    </w:pPr>
    <w:rPr>
      <w:rFonts w:ascii="Cambria" w:hAnsi="Cambria"/>
      <w:b/>
      <w:bCs/>
      <w:sz w:val="32"/>
      <w:szCs w:val="32"/>
    </w:rPr>
  </w:style>
  <w:style w:type="character" w:styleId="7">
    <w:name w:val="FollowedHyperlink"/>
    <w:uiPriority w:val="99"/>
    <w:rPr>
      <w:rFonts w:cs="Times New Roman"/>
      <w:color w:val="800080"/>
      <w:u w:val="single"/>
    </w:rPr>
  </w:style>
  <w:style w:type="character" w:styleId="8">
    <w:name w:val="Hyperlink"/>
    <w:uiPriority w:val="99"/>
    <w:rPr>
      <w:rFonts w:cs="Times New Roman"/>
      <w:color w:val="0000FF"/>
      <w:u w:val="single"/>
    </w:rPr>
  </w:style>
  <w:style w:type="character" w:customStyle="1" w:styleId="10">
    <w:name w:val="标题 Char"/>
    <w:link w:val="5"/>
    <w:locked/>
    <w:uiPriority w:val="99"/>
    <w:rPr>
      <w:rFonts w:ascii="Cambria" w:hAnsi="Cambria" w:eastAsia="宋体" w:cs="Times New Roman"/>
      <w:b/>
      <w:bCs/>
      <w:kern w:val="0"/>
      <w:sz w:val="32"/>
      <w:szCs w:val="32"/>
    </w:rPr>
  </w:style>
  <w:style w:type="character" w:customStyle="1" w:styleId="11">
    <w:name w:val="页脚 Char"/>
    <w:link w:val="3"/>
    <w:locked/>
    <w:uiPriority w:val="99"/>
    <w:rPr>
      <w:rFonts w:ascii="Calibri" w:hAnsi="Calibri" w:eastAsia="宋体" w:cs="Times New Roman"/>
      <w:kern w:val="0"/>
      <w:sz w:val="18"/>
      <w:szCs w:val="18"/>
    </w:rPr>
  </w:style>
  <w:style w:type="character" w:customStyle="1" w:styleId="12">
    <w:name w:val="页眉 Char"/>
    <w:link w:val="4"/>
    <w:locked/>
    <w:uiPriority w:val="99"/>
    <w:rPr>
      <w:rFonts w:ascii="Calibri" w:hAnsi="Calibri" w:eastAsia="宋体" w:cs="Times New Roman"/>
      <w:kern w:val="0"/>
      <w:sz w:val="18"/>
      <w:szCs w:val="18"/>
    </w:rPr>
  </w:style>
  <w:style w:type="character" w:customStyle="1" w:styleId="13">
    <w:name w:val="10"/>
    <w:uiPriority w:val="99"/>
    <w:rPr>
      <w:rFonts w:ascii="Times New Roman" w:hAnsi="Times New Roman" w:cs="Times New Roman"/>
    </w:rPr>
  </w:style>
  <w:style w:type="character" w:customStyle="1" w:styleId="14">
    <w:name w:val="15"/>
    <w:uiPriority w:val="99"/>
    <w:rPr>
      <w:rFonts w:ascii="Times New Roman" w:hAnsi="Times New Roman" w:cs="Times New Roman"/>
      <w:color w:val="0000FF"/>
      <w:sz w:val="20"/>
      <w:szCs w:val="20"/>
      <w:u w:val="single"/>
    </w:rPr>
  </w:style>
  <w:style w:type="character" w:customStyle="1" w:styleId="15">
    <w:name w:val="批注框文本 Char"/>
    <w:link w:val="2"/>
    <w:semiHidden/>
    <w:locked/>
    <w:uiPriority w:val="99"/>
    <w:rPr>
      <w:rFonts w:ascii="Calibri" w:hAnsi="Calibri" w:eastAsia="宋体" w:cs="Times New Roman"/>
      <w:kern w:val="0"/>
      <w:sz w:val="18"/>
      <w:szCs w:val="18"/>
    </w:rPr>
  </w:style>
  <w:style w:type="paragraph" w:styleId="16">
    <w:name w:val="No Spacing"/>
    <w:link w:val="17"/>
    <w:qFormat/>
    <w:uiPriority w:val="99"/>
    <w:rPr>
      <w:rFonts w:ascii="Calibri" w:hAnsi="Calibri" w:eastAsia="宋体" w:cs="Times New Roman"/>
      <w:sz w:val="22"/>
      <w:szCs w:val="22"/>
      <w:lang w:val="en-US" w:eastAsia="zh-CN" w:bidi="ar-SA"/>
    </w:rPr>
  </w:style>
  <w:style w:type="character" w:customStyle="1" w:styleId="17">
    <w:name w:val="无间隔 Char"/>
    <w:link w:val="16"/>
    <w:locked/>
    <w:uiPriority w:val="99"/>
    <w:rPr>
      <w:rFonts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2353</Words>
  <Characters>13417</Characters>
  <Lines>111</Lines>
  <Paragraphs>31</Paragraphs>
  <ScaleCrop>false</ScaleCrop>
  <LinksUpToDate>false</LinksUpToDate>
  <CharactersWithSpaces>15739</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2018-01-16T06:14:00Z</dcterms:created>
  <dc:creator>HT003-YKL</dc:creator>
  <cp:lastModifiedBy>上海金融理财师协会-卫国强</cp:lastModifiedBy>
  <cp:lastPrinted>2018-01-16T06:30:00Z</cp:lastPrinted>
  <dcterms:modified xsi:type="dcterms:W3CDTF">2018-02-09T06:07:04Z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