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ascii="仿宋_GB2312" w:eastAsia="仿宋_GB2312"/>
          <w:sz w:val="30"/>
          <w:szCs w:val="30"/>
        </w:rPr>
        <w:t>附件</w:t>
      </w:r>
      <w:r>
        <w:rPr>
          <w:rFonts w:hint="eastAsia" w:ascii="仿宋_GB2312" w:eastAsia="仿宋_GB2312"/>
          <w:sz w:val="30"/>
          <w:szCs w:val="30"/>
        </w:rPr>
        <w:t>3：</w:t>
      </w:r>
    </w:p>
    <w:p>
      <w:pPr>
        <w:snapToGrid w:val="0"/>
        <w:spacing w:line="560" w:lineRule="atLeast"/>
        <w:jc w:val="left"/>
        <w:rPr>
          <w:rFonts w:ascii="方正小标宋简体" w:hAnsi="宋体" w:eastAsia="方正小标宋简体" w:cs="Times New Roman"/>
          <w:b/>
          <w:sz w:val="36"/>
          <w:szCs w:val="36"/>
        </w:rPr>
      </w:pPr>
    </w:p>
    <w:p>
      <w:pPr>
        <w:snapToGrid w:val="0"/>
        <w:spacing w:line="560" w:lineRule="atLeast"/>
        <w:jc w:val="center"/>
        <w:rPr>
          <w:rFonts w:ascii="方正小标宋简体" w:hAnsi="宋体" w:eastAsia="方正小标宋简体" w:cs="Times New Roman"/>
          <w:b/>
          <w:sz w:val="36"/>
          <w:szCs w:val="36"/>
        </w:rPr>
      </w:pPr>
      <w:r>
        <w:rPr>
          <w:rFonts w:hint="eastAsia" w:ascii="方正小标宋简体" w:hAnsi="宋体" w:eastAsia="方正小标宋简体" w:cs="Times New Roman"/>
          <w:b/>
          <w:sz w:val="36"/>
          <w:szCs w:val="36"/>
        </w:rPr>
        <w:t>中债金融估值中心有限公司征文协议书</w:t>
      </w:r>
    </w:p>
    <w:p>
      <w:pPr>
        <w:ind w:firstLine="640" w:firstLineChars="200"/>
        <w:rPr>
          <w:rFonts w:ascii="Times New Roman" w:hAnsi="Times New Roman" w:eastAsia="仿宋_GB2312" w:cs="Times New Roman"/>
          <w:sz w:val="32"/>
          <w:szCs w:val="32"/>
        </w:rPr>
      </w:pP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甲方：中债金融估值中心有限公司</w:t>
      </w: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地址：上海市自由贸易试验区商城路618号3层</w:t>
      </w:r>
    </w:p>
    <w:p>
      <w:pPr>
        <w:spacing w:line="560" w:lineRule="exact"/>
        <w:rPr>
          <w:rFonts w:ascii="仿宋_GB2312" w:hAnsi="Times New Roman" w:eastAsia="仿宋_GB2312" w:cs="Times New Roman"/>
          <w:sz w:val="30"/>
          <w:szCs w:val="30"/>
        </w:rPr>
      </w:pP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乙方：</w:t>
      </w: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身份证号</w:t>
      </w:r>
      <w:r>
        <w:rPr>
          <w:rFonts w:ascii="仿宋_GB2312" w:hAnsi="Times New Roman" w:eastAsia="仿宋_GB2312" w:cs="Times New Roman"/>
          <w:sz w:val="30"/>
          <w:szCs w:val="30"/>
        </w:rPr>
        <w:t>：</w:t>
      </w: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地址：</w:t>
      </w:r>
    </w:p>
    <w:p>
      <w:pPr>
        <w:spacing w:line="56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电话</w:t>
      </w:r>
      <w:r>
        <w:rPr>
          <w:rFonts w:ascii="仿宋_GB2312" w:hAnsi="Times New Roman" w:eastAsia="仿宋_GB2312" w:cs="Times New Roman"/>
          <w:sz w:val="30"/>
          <w:szCs w:val="30"/>
        </w:rPr>
        <w:t>：</w:t>
      </w:r>
    </w:p>
    <w:p>
      <w:pPr>
        <w:spacing w:line="560" w:lineRule="exact"/>
        <w:ind w:firstLine="600" w:firstLineChars="200"/>
        <w:rPr>
          <w:rFonts w:ascii="仿宋_GB2312" w:hAnsi="Times New Roman" w:eastAsia="仿宋_GB2312" w:cs="Times New Roman"/>
          <w:sz w:val="30"/>
          <w:szCs w:val="30"/>
        </w:rPr>
      </w:pP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根据《中华人民共合国合同法》、《中国人民共和国著作权法》等相关法律规定，甲方和乙方在平等自愿的基础上，就征文的发表、出版等事宜达成以下协议：</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一、乙方自愿参加甲方组织的学术研究类征文活动，承诺遵守甲方关于征文活动的各项规定（“征文</w:t>
      </w:r>
      <w:r>
        <w:rPr>
          <w:rFonts w:ascii="仿宋_GB2312" w:hAnsi="Times New Roman" w:eastAsia="仿宋_GB2312" w:cs="Times New Roman"/>
          <w:sz w:val="30"/>
          <w:szCs w:val="30"/>
        </w:rPr>
        <w:t>规定</w:t>
      </w:r>
      <w:r>
        <w:rPr>
          <w:rFonts w:hint="eastAsia" w:ascii="仿宋_GB2312" w:hAnsi="Times New Roman" w:eastAsia="仿宋_GB2312" w:cs="Times New Roman"/>
          <w:sz w:val="30"/>
          <w:szCs w:val="30"/>
        </w:rPr>
        <w:t>”）及符合国家法律法规的规定。</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二、乙方承诺其向</w:t>
      </w:r>
      <w:r>
        <w:rPr>
          <w:rFonts w:ascii="仿宋_GB2312" w:hAnsi="Times New Roman" w:eastAsia="仿宋_GB2312" w:cs="Times New Roman"/>
          <w:sz w:val="30"/>
          <w:szCs w:val="30"/>
        </w:rPr>
        <w:t>甲方</w:t>
      </w:r>
      <w:r>
        <w:rPr>
          <w:rFonts w:hint="eastAsia" w:ascii="仿宋_GB2312" w:hAnsi="Times New Roman" w:eastAsia="仿宋_GB2312" w:cs="Times New Roman"/>
          <w:sz w:val="30"/>
          <w:szCs w:val="30"/>
        </w:rPr>
        <w:t>投稿</w:t>
      </w:r>
      <w:r>
        <w:rPr>
          <w:rFonts w:ascii="仿宋_GB2312" w:hAnsi="Times New Roman" w:eastAsia="仿宋_GB2312" w:cs="Times New Roman"/>
          <w:sz w:val="30"/>
          <w:szCs w:val="30"/>
        </w:rPr>
        <w:t>的</w:t>
      </w:r>
      <w:r>
        <w:rPr>
          <w:rFonts w:hint="eastAsia" w:ascii="仿宋_GB2312" w:hAnsi="Times New Roman" w:eastAsia="仿宋_GB2312" w:cs="Times New Roman"/>
          <w:sz w:val="30"/>
          <w:szCs w:val="30"/>
        </w:rPr>
        <w:t>文章（“投稿</w:t>
      </w:r>
      <w:r>
        <w:rPr>
          <w:rFonts w:ascii="仿宋_GB2312" w:hAnsi="Times New Roman" w:eastAsia="仿宋_GB2312" w:cs="Times New Roman"/>
          <w:sz w:val="30"/>
          <w:szCs w:val="30"/>
        </w:rPr>
        <w:t>文章</w:t>
      </w:r>
      <w:r>
        <w:rPr>
          <w:rFonts w:hint="eastAsia" w:ascii="仿宋_GB2312" w:hAnsi="Times New Roman" w:eastAsia="仿宋_GB2312" w:cs="Times New Roman"/>
          <w:sz w:val="30"/>
          <w:szCs w:val="30"/>
        </w:rPr>
        <w:t>”）为其</w:t>
      </w:r>
      <w:r>
        <w:rPr>
          <w:rFonts w:ascii="仿宋_GB2312" w:hAnsi="Times New Roman" w:eastAsia="仿宋_GB2312" w:cs="Times New Roman"/>
          <w:sz w:val="30"/>
          <w:szCs w:val="30"/>
        </w:rPr>
        <w:t>独立创作，</w:t>
      </w:r>
      <w:r>
        <w:rPr>
          <w:rFonts w:hint="eastAsia" w:ascii="仿宋_GB2312" w:hAnsi="Times New Roman" w:eastAsia="仿宋_GB2312" w:cs="Times New Roman"/>
          <w:sz w:val="30"/>
          <w:szCs w:val="30"/>
        </w:rPr>
        <w:t>内容</w:t>
      </w:r>
      <w:r>
        <w:rPr>
          <w:rFonts w:ascii="仿宋_GB2312" w:hAnsi="Times New Roman" w:eastAsia="仿宋_GB2312" w:cs="Times New Roman"/>
          <w:sz w:val="30"/>
          <w:szCs w:val="30"/>
        </w:rPr>
        <w:t>和</w:t>
      </w:r>
      <w:r>
        <w:rPr>
          <w:rFonts w:hint="eastAsia" w:ascii="仿宋_GB2312" w:hAnsi="Times New Roman" w:eastAsia="仿宋_GB2312" w:cs="Times New Roman"/>
          <w:sz w:val="30"/>
          <w:szCs w:val="30"/>
        </w:rPr>
        <w:t>形式</w:t>
      </w:r>
      <w:r>
        <w:rPr>
          <w:rFonts w:ascii="仿宋_GB2312" w:hAnsi="Times New Roman" w:eastAsia="仿宋_GB2312" w:cs="Times New Roman"/>
          <w:sz w:val="30"/>
          <w:szCs w:val="30"/>
        </w:rPr>
        <w:t>均符合适用法律法规及</w:t>
      </w:r>
      <w:r>
        <w:rPr>
          <w:rFonts w:hint="eastAsia" w:ascii="仿宋_GB2312" w:hAnsi="Times New Roman" w:eastAsia="仿宋_GB2312" w:cs="Times New Roman"/>
          <w:sz w:val="30"/>
          <w:szCs w:val="30"/>
        </w:rPr>
        <w:t>征文规定</w:t>
      </w:r>
      <w:r>
        <w:rPr>
          <w:rFonts w:ascii="仿宋_GB2312" w:hAnsi="Times New Roman" w:eastAsia="仿宋_GB2312" w:cs="Times New Roman"/>
          <w:sz w:val="30"/>
          <w:szCs w:val="30"/>
        </w:rPr>
        <w:t>，尚未在</w:t>
      </w:r>
      <w:r>
        <w:rPr>
          <w:rFonts w:hint="eastAsia" w:ascii="仿宋_GB2312" w:hAnsi="Times New Roman" w:eastAsia="仿宋_GB2312" w:cs="Times New Roman"/>
          <w:sz w:val="30"/>
          <w:szCs w:val="30"/>
        </w:rPr>
        <w:t>任何公开渠道（包括但不限于书籍、期刊、杂志等）发表，乙方</w:t>
      </w:r>
      <w:r>
        <w:rPr>
          <w:rFonts w:ascii="仿宋_GB2312" w:hAnsi="Times New Roman" w:eastAsia="仿宋_GB2312" w:cs="Times New Roman"/>
          <w:sz w:val="30"/>
          <w:szCs w:val="30"/>
        </w:rPr>
        <w:t>对</w:t>
      </w:r>
      <w:r>
        <w:rPr>
          <w:rFonts w:hint="eastAsia" w:ascii="仿宋_GB2312" w:hAnsi="Times New Roman" w:eastAsia="仿宋_GB2312" w:cs="Times New Roman"/>
          <w:sz w:val="30"/>
          <w:szCs w:val="30"/>
        </w:rPr>
        <w:t>投稿</w:t>
      </w:r>
      <w:r>
        <w:rPr>
          <w:rFonts w:ascii="仿宋_GB2312" w:hAnsi="Times New Roman" w:eastAsia="仿宋_GB2312" w:cs="Times New Roman"/>
          <w:sz w:val="30"/>
          <w:szCs w:val="30"/>
        </w:rPr>
        <w:t>文章</w:t>
      </w:r>
      <w:r>
        <w:rPr>
          <w:rFonts w:hint="eastAsia" w:ascii="仿宋_GB2312" w:hAnsi="Times New Roman" w:eastAsia="仿宋_GB2312" w:cs="Times New Roman"/>
          <w:sz w:val="30"/>
          <w:szCs w:val="30"/>
        </w:rPr>
        <w:t>拥有完整的著作权。如投稿文章违反</w:t>
      </w:r>
      <w:r>
        <w:rPr>
          <w:rFonts w:ascii="仿宋_GB2312" w:hAnsi="Times New Roman" w:eastAsia="仿宋_GB2312" w:cs="Times New Roman"/>
          <w:sz w:val="30"/>
          <w:szCs w:val="30"/>
        </w:rPr>
        <w:t>法律法规或征文规定或</w:t>
      </w:r>
      <w:r>
        <w:rPr>
          <w:rFonts w:hint="eastAsia" w:ascii="仿宋_GB2312" w:hAnsi="Times New Roman" w:eastAsia="仿宋_GB2312" w:cs="Times New Roman"/>
          <w:sz w:val="30"/>
          <w:szCs w:val="30"/>
        </w:rPr>
        <w:t>侵犯甲方或第三方的知识产权，乙方将被终止参与征文活动的资格，由此产生的一切法律责任均由乙方承担。</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投稿文章如获选优秀作品</w:t>
      </w:r>
      <w:bookmarkStart w:id="0" w:name="_GoBack"/>
      <w:bookmarkEnd w:id="0"/>
      <w:r>
        <w:rPr>
          <w:rFonts w:hint="eastAsia" w:ascii="仿宋_GB2312" w:hAnsi="Times New Roman" w:eastAsia="仿宋_GB2312" w:cs="Times New Roman"/>
          <w:sz w:val="30"/>
          <w:szCs w:val="30"/>
        </w:rPr>
        <w:t>，乙方</w:t>
      </w:r>
      <w:r>
        <w:rPr>
          <w:rFonts w:ascii="仿宋_GB2312" w:hAnsi="Times New Roman" w:eastAsia="仿宋_GB2312" w:cs="Times New Roman"/>
          <w:sz w:val="30"/>
          <w:szCs w:val="30"/>
        </w:rPr>
        <w:t>有权根据征文规定获得相应奖励。</w:t>
      </w:r>
      <w:r>
        <w:rPr>
          <w:rFonts w:hint="eastAsia" w:ascii="仿宋_GB2312" w:hAnsi="Times New Roman" w:eastAsia="仿宋_GB2312" w:cs="Times New Roman"/>
          <w:sz w:val="30"/>
          <w:szCs w:val="30"/>
        </w:rPr>
        <w:t>同时，乙方可选择接受甲方推荐，在甲方征稿启事中指定的刊物或结集出版物上发表获奖作品；也可选择另行在其他刊物发表投稿文章，发表时应注明此作品曾获得甲方“中债估值杯”征文活动奖励。获选优秀作品后，甲方将通知乙方结果并书面征求乙方的发表意见，如乙方在收到通知后一个月内未向甲方书面反馈将另行发表投稿文章的，将视同乙方接受甲方推荐在征稿启事指定刊物或结集出版物上发表投稿文章。乙方不得</w:t>
      </w:r>
      <w:r>
        <w:rPr>
          <w:rFonts w:ascii="仿宋_GB2312" w:hAnsi="Times New Roman" w:eastAsia="仿宋_GB2312" w:cs="Times New Roman"/>
          <w:sz w:val="30"/>
          <w:szCs w:val="30"/>
        </w:rPr>
        <w:t>再安排投稿文章在其他渠道发表，</w:t>
      </w:r>
      <w:r>
        <w:rPr>
          <w:rFonts w:hint="eastAsia" w:ascii="仿宋_GB2312" w:hAnsi="Times New Roman" w:eastAsia="仿宋_GB2312" w:cs="Times New Roman"/>
          <w:sz w:val="30"/>
          <w:szCs w:val="30"/>
        </w:rPr>
        <w:t>否则由此产生的一切法律责任和</w:t>
      </w:r>
      <w:r>
        <w:rPr>
          <w:rFonts w:ascii="仿宋_GB2312" w:hAnsi="Times New Roman" w:eastAsia="仿宋_GB2312" w:cs="Times New Roman"/>
          <w:sz w:val="30"/>
          <w:szCs w:val="30"/>
        </w:rPr>
        <w:t>损失</w:t>
      </w:r>
      <w:r>
        <w:rPr>
          <w:rFonts w:hint="eastAsia" w:ascii="仿宋_GB2312" w:hAnsi="Times New Roman" w:eastAsia="仿宋_GB2312" w:cs="Times New Roman"/>
          <w:sz w:val="30"/>
          <w:szCs w:val="30"/>
        </w:rPr>
        <w:t>均由乙方承担（包括</w:t>
      </w:r>
      <w:r>
        <w:rPr>
          <w:rFonts w:ascii="仿宋_GB2312" w:hAnsi="Times New Roman" w:eastAsia="仿宋_GB2312" w:cs="Times New Roman"/>
          <w:sz w:val="30"/>
          <w:szCs w:val="30"/>
        </w:rPr>
        <w:t>但不限于</w:t>
      </w:r>
      <w:r>
        <w:rPr>
          <w:rFonts w:hint="eastAsia" w:ascii="仿宋_GB2312" w:hAnsi="Times New Roman" w:eastAsia="仿宋_GB2312" w:cs="Times New Roman"/>
          <w:sz w:val="30"/>
          <w:szCs w:val="30"/>
        </w:rPr>
        <w:t>要求</w:t>
      </w:r>
      <w:r>
        <w:rPr>
          <w:rFonts w:ascii="仿宋_GB2312" w:hAnsi="Times New Roman" w:eastAsia="仿宋_GB2312" w:cs="Times New Roman"/>
          <w:sz w:val="30"/>
          <w:szCs w:val="30"/>
        </w:rPr>
        <w:t>乙方返还所获奖励</w:t>
      </w:r>
      <w:r>
        <w:rPr>
          <w:rFonts w:hint="eastAsia" w:ascii="仿宋_GB2312" w:hAnsi="Times New Roman" w:eastAsia="仿宋_GB2312" w:cs="Times New Roman"/>
          <w:sz w:val="30"/>
          <w:szCs w:val="30"/>
        </w:rPr>
        <w:t>）</w:t>
      </w:r>
      <w:r>
        <w:rPr>
          <w:rFonts w:ascii="仿宋_GB2312" w:hAnsi="Times New Roman" w:eastAsia="仿宋_GB2312" w:cs="Times New Roman"/>
          <w:sz w:val="30"/>
          <w:szCs w:val="30"/>
        </w:rPr>
        <w:t>。</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四、甲方结集出版或者在征稿启事指定刊物上刊登投稿文章时，甲方无需向乙方支付稿费等费用。</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五、本</w:t>
      </w:r>
      <w:r>
        <w:rPr>
          <w:rFonts w:ascii="仿宋_GB2312" w:hAnsi="Times New Roman" w:eastAsia="仿宋_GB2312" w:cs="Times New Roman"/>
          <w:sz w:val="30"/>
          <w:szCs w:val="30"/>
        </w:rPr>
        <w:t>协议适用中国法律</w:t>
      </w:r>
      <w:r>
        <w:rPr>
          <w:rFonts w:hint="eastAsia" w:ascii="仿宋_GB2312" w:hAnsi="Times New Roman" w:eastAsia="仿宋_GB2312" w:cs="Times New Roman"/>
          <w:sz w:val="30"/>
          <w:szCs w:val="30"/>
        </w:rPr>
        <w:t>（不</w:t>
      </w:r>
      <w:r>
        <w:rPr>
          <w:rFonts w:ascii="仿宋_GB2312" w:hAnsi="Times New Roman" w:eastAsia="仿宋_GB2312" w:cs="Times New Roman"/>
          <w:sz w:val="30"/>
          <w:szCs w:val="30"/>
        </w:rPr>
        <w:t>包括香港特别行政区、澳门特别行政区</w:t>
      </w:r>
      <w:r>
        <w:rPr>
          <w:rFonts w:hint="eastAsia" w:ascii="仿宋_GB2312" w:hAnsi="Times New Roman" w:eastAsia="仿宋_GB2312" w:cs="Times New Roman"/>
          <w:sz w:val="30"/>
          <w:szCs w:val="30"/>
        </w:rPr>
        <w:t>和</w:t>
      </w:r>
      <w:r>
        <w:rPr>
          <w:rFonts w:ascii="仿宋_GB2312" w:hAnsi="Times New Roman" w:eastAsia="仿宋_GB2312" w:cs="Times New Roman"/>
          <w:sz w:val="30"/>
          <w:szCs w:val="30"/>
        </w:rPr>
        <w:t>台湾地区法律</w:t>
      </w:r>
      <w:r>
        <w:rPr>
          <w:rFonts w:hint="eastAsia" w:ascii="仿宋_GB2312" w:hAnsi="Times New Roman" w:eastAsia="仿宋_GB2312" w:cs="Times New Roman"/>
          <w:sz w:val="30"/>
          <w:szCs w:val="30"/>
        </w:rPr>
        <w:t>）</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其他未尽事项或</w:t>
      </w:r>
      <w:r>
        <w:rPr>
          <w:rFonts w:ascii="仿宋_GB2312" w:hAnsi="Times New Roman" w:eastAsia="仿宋_GB2312" w:cs="Times New Roman"/>
          <w:sz w:val="30"/>
          <w:szCs w:val="30"/>
        </w:rPr>
        <w:t>双方因本协议的签署和履行发生任何争议的</w:t>
      </w:r>
      <w:r>
        <w:rPr>
          <w:rFonts w:hint="eastAsia" w:ascii="仿宋_GB2312" w:hAnsi="Times New Roman" w:eastAsia="仿宋_GB2312" w:cs="Times New Roman"/>
          <w:sz w:val="30"/>
          <w:szCs w:val="30"/>
        </w:rPr>
        <w:t>，双方应本着平等协商原则，妥善解决。协商不成的，双方均可向甲方住所地人民法院提请诉讼。</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六、本协议经甲方盖章和</w:t>
      </w:r>
      <w:r>
        <w:rPr>
          <w:rFonts w:ascii="仿宋_GB2312" w:hAnsi="Times New Roman" w:eastAsia="仿宋_GB2312" w:cs="Times New Roman"/>
          <w:sz w:val="30"/>
          <w:szCs w:val="30"/>
        </w:rPr>
        <w:t>乙方签字</w:t>
      </w:r>
      <w:r>
        <w:rPr>
          <w:rFonts w:hint="eastAsia" w:ascii="仿宋_GB2312" w:hAnsi="Times New Roman" w:eastAsia="仿宋_GB2312" w:cs="Times New Roman"/>
          <w:sz w:val="30"/>
          <w:szCs w:val="30"/>
        </w:rPr>
        <w:t>后生效。</w:t>
      </w:r>
    </w:p>
    <w:p>
      <w:pPr>
        <w:spacing w:line="560" w:lineRule="exact"/>
        <w:ind w:firstLine="600" w:firstLineChars="200"/>
        <w:rPr>
          <w:rFonts w:ascii="仿宋_GB2312" w:hAnsi="Times New Roman" w:eastAsia="仿宋_GB2312" w:cs="Times New Roman"/>
          <w:sz w:val="30"/>
          <w:szCs w:val="30"/>
        </w:rPr>
      </w:pP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甲方：中债金融估值中心有限公司</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日期：年月日</w:t>
      </w:r>
    </w:p>
    <w:p>
      <w:pPr>
        <w:spacing w:line="560" w:lineRule="exact"/>
        <w:ind w:firstLine="600" w:firstLineChars="200"/>
        <w:rPr>
          <w:rFonts w:ascii="仿宋_GB2312" w:hAnsi="Times New Roman" w:eastAsia="仿宋_GB2312" w:cs="Times New Roman"/>
          <w:sz w:val="30"/>
          <w:szCs w:val="30"/>
        </w:rPr>
      </w:pP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乙方：</w:t>
      </w:r>
    </w:p>
    <w:p>
      <w:pPr>
        <w:spacing w:line="560" w:lineRule="exact"/>
        <w:ind w:firstLine="600" w:firstLineChars="200"/>
      </w:pPr>
      <w:r>
        <w:rPr>
          <w:rFonts w:hint="eastAsia" w:ascii="仿宋_GB2312" w:hAnsi="Times New Roman" w:eastAsia="仿宋_GB2312" w:cs="Times New Roman"/>
          <w:sz w:val="30"/>
          <w:szCs w:val="30"/>
        </w:rPr>
        <w:t>日期：年月日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57CA"/>
    <w:rsid w:val="000A0004"/>
    <w:rsid w:val="001619F5"/>
    <w:rsid w:val="00236D22"/>
    <w:rsid w:val="00245FA3"/>
    <w:rsid w:val="00260A59"/>
    <w:rsid w:val="00272DC7"/>
    <w:rsid w:val="00273B95"/>
    <w:rsid w:val="003521CD"/>
    <w:rsid w:val="003A57CA"/>
    <w:rsid w:val="00411553"/>
    <w:rsid w:val="00441E11"/>
    <w:rsid w:val="0049646F"/>
    <w:rsid w:val="00544D9E"/>
    <w:rsid w:val="005E151E"/>
    <w:rsid w:val="00646A0C"/>
    <w:rsid w:val="006E2E57"/>
    <w:rsid w:val="007937CE"/>
    <w:rsid w:val="00794E4D"/>
    <w:rsid w:val="007F2E58"/>
    <w:rsid w:val="00861268"/>
    <w:rsid w:val="008F7323"/>
    <w:rsid w:val="00967491"/>
    <w:rsid w:val="009D1354"/>
    <w:rsid w:val="00A37202"/>
    <w:rsid w:val="00A43F16"/>
    <w:rsid w:val="00A4441D"/>
    <w:rsid w:val="00AC6C03"/>
    <w:rsid w:val="00AF4651"/>
    <w:rsid w:val="00B164A6"/>
    <w:rsid w:val="00B30F9D"/>
    <w:rsid w:val="00B91B32"/>
    <w:rsid w:val="00B93299"/>
    <w:rsid w:val="00BF6362"/>
    <w:rsid w:val="00BF6A2C"/>
    <w:rsid w:val="00C114D5"/>
    <w:rsid w:val="00C4277B"/>
    <w:rsid w:val="00C64D16"/>
    <w:rsid w:val="00D6438F"/>
    <w:rsid w:val="00E065A0"/>
    <w:rsid w:val="00E94879"/>
    <w:rsid w:val="00EB3A22"/>
    <w:rsid w:val="00ED02BD"/>
    <w:rsid w:val="00EE3A3D"/>
    <w:rsid w:val="00F01A11"/>
    <w:rsid w:val="00FA1363"/>
    <w:rsid w:val="696F29B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uiPriority w:val="99"/>
    <w:rPr>
      <w:sz w:val="21"/>
      <w:szCs w:val="21"/>
    </w:rPr>
  </w:style>
  <w:style w:type="character" w:customStyle="1" w:styleId="9">
    <w:name w:val="页眉 Char"/>
    <w:basedOn w:val="6"/>
    <w:link w:val="5"/>
    <w:semiHidden/>
    <w:uiPriority w:val="99"/>
    <w:rPr>
      <w:sz w:val="18"/>
      <w:szCs w:val="18"/>
    </w:rPr>
  </w:style>
  <w:style w:type="character" w:customStyle="1" w:styleId="10">
    <w:name w:val="页脚 Char"/>
    <w:basedOn w:val="6"/>
    <w:link w:val="4"/>
    <w:semiHidden/>
    <w:uiPriority w:val="99"/>
    <w:rPr>
      <w:sz w:val="18"/>
      <w:szCs w:val="18"/>
    </w:rPr>
  </w:style>
  <w:style w:type="character" w:customStyle="1" w:styleId="11">
    <w:name w:val="批注框文本 Char"/>
    <w:basedOn w:val="6"/>
    <w:link w:val="3"/>
    <w:semiHidden/>
    <w:uiPriority w:val="99"/>
    <w:rPr>
      <w:sz w:val="18"/>
      <w:szCs w:val="18"/>
    </w:rPr>
  </w:style>
  <w:style w:type="character" w:customStyle="1" w:styleId="12">
    <w:name w:val="批注文字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cffex.net</Company>
  <Pages>2</Pages>
  <Words>209</Words>
  <Characters>1196</Characters>
  <Lines>9</Lines>
  <Paragraphs>2</Paragraphs>
  <TotalTime>0</TotalTime>
  <ScaleCrop>false</ScaleCrop>
  <LinksUpToDate>false</LinksUpToDate>
  <CharactersWithSpaces>1403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2018-08-30T01:38:00Z</dcterms:created>
  <dc:creator>info01</dc:creator>
  <cp:lastModifiedBy>ccdc</cp:lastModifiedBy>
  <cp:lastPrinted>2018-08-27T00:54:00Z</cp:lastPrinted>
  <dcterms:modified xsi:type="dcterms:W3CDTF">2018-09-03T02:32:02Z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