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黑体" w:hAnsi="黑体" w:eastAsia="黑体" w:cs="华文中宋"/>
          <w:sz w:val="44"/>
        </w:rPr>
      </w:pPr>
      <w:r>
        <w:rPr>
          <w:rFonts w:ascii="黑体" w:hAnsi="黑体" w:eastAsia="黑体" w:cs="华文中宋"/>
          <w:sz w:val="44"/>
        </w:rPr>
        <w:t>第</w:t>
      </w:r>
      <w:r>
        <w:rPr>
          <w:rFonts w:hint="eastAsia" w:ascii="黑体" w:hAnsi="黑体" w:eastAsia="黑体" w:cs="华文中宋"/>
          <w:sz w:val="44"/>
        </w:rPr>
        <w:t>1</w:t>
      </w:r>
      <w:r>
        <w:rPr>
          <w:rFonts w:hint="eastAsia" w:ascii="黑体" w:hAnsi="黑体" w:eastAsia="黑体" w:cs="华文中宋"/>
          <w:sz w:val="44"/>
          <w:lang w:val="en-US" w:eastAsia="zh-CN"/>
        </w:rPr>
        <w:t>77</w:t>
      </w:r>
      <w:r>
        <w:rPr>
          <w:rFonts w:ascii="黑体" w:hAnsi="黑体" w:eastAsia="黑体" w:cs="华文中宋"/>
          <w:sz w:val="44"/>
        </w:rPr>
        <w:t>期</w:t>
      </w:r>
      <w:r>
        <w:rPr>
          <w:rFonts w:hint="eastAsia" w:ascii="黑体" w:hAnsi="黑体" w:eastAsia="黑体" w:cs="华文中宋"/>
          <w:sz w:val="44"/>
        </w:rPr>
        <w:t>上交所</w:t>
      </w:r>
      <w:r>
        <w:rPr>
          <w:rFonts w:ascii="黑体" w:hAnsi="黑体" w:eastAsia="黑体" w:cs="华文中宋"/>
          <w:sz w:val="44"/>
        </w:rPr>
        <w:t>新闻发布会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_GB2312" w:hAnsi="黑体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发布时间：</w:t>
      </w:r>
      <w:r>
        <w:rPr>
          <w:rFonts w:hint="eastAsia" w:ascii="仿宋_GB2312" w:hAnsi="黑体" w:eastAsia="仿宋_GB2312"/>
          <w:sz w:val="30"/>
          <w:szCs w:val="30"/>
        </w:rPr>
        <w:t>201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黑体" w:eastAsia="仿宋_GB2312"/>
          <w:sz w:val="30"/>
          <w:szCs w:val="30"/>
        </w:rPr>
        <w:t>年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黑体" w:eastAsia="仿宋_GB2312"/>
          <w:sz w:val="30"/>
          <w:szCs w:val="30"/>
        </w:rPr>
        <w:t>月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黑体" w:eastAsia="仿宋_GB2312"/>
          <w:sz w:val="30"/>
          <w:szCs w:val="30"/>
        </w:rPr>
        <w:t>日（周五）17:00-17:30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_GB2312" w:hAnsi="黑体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发布平台：</w:t>
      </w:r>
      <w:r>
        <w:rPr>
          <w:rFonts w:hint="eastAsia" w:ascii="仿宋_GB2312" w:hAnsi="黑体" w:eastAsia="仿宋_GB2312"/>
          <w:sz w:val="30"/>
          <w:szCs w:val="30"/>
        </w:rPr>
        <w:t>官方微信、官方微博、官方网站</w:t>
      </w:r>
    </w:p>
    <w:p>
      <w:pPr>
        <w:spacing w:line="600" w:lineRule="exact"/>
        <w:rPr>
          <w:rFonts w:hint="eastAsia" w:ascii="仿宋_GB2312" w:hAnsi="黑体" w:eastAsia="仿宋_GB2312"/>
          <w:sz w:val="30"/>
          <w:szCs w:val="30"/>
        </w:rPr>
      </w:pPr>
    </w:p>
    <w:p>
      <w:pPr>
        <w:pStyle w:val="3"/>
        <w:jc w:val="center"/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市场运行情况例行发布</w:t>
      </w:r>
    </w:p>
    <w:p>
      <w:pPr>
        <w:spacing w:line="600" w:lineRule="auto"/>
        <w:jc w:val="center"/>
        <w:rPr>
          <w:rFonts w:ascii="黑体" w:hAnsi="黑体" w:eastAsia="黑体" w:cs="黑体"/>
          <w:sz w:val="30"/>
        </w:rPr>
      </w:pPr>
      <w:r>
        <w:rPr>
          <w:rFonts w:ascii="黑体" w:hAnsi="黑体" w:eastAsia="黑体" w:cs="黑体"/>
          <w:sz w:val="30"/>
        </w:rPr>
        <w:t>（201</w:t>
      </w:r>
      <w:r>
        <w:rPr>
          <w:rFonts w:hint="eastAsia" w:ascii="黑体" w:hAnsi="黑体" w:eastAsia="黑体" w:cs="黑体"/>
          <w:sz w:val="30"/>
        </w:rPr>
        <w:t>9</w:t>
      </w:r>
      <w:r>
        <w:rPr>
          <w:rFonts w:ascii="黑体" w:hAnsi="黑体" w:eastAsia="黑体" w:cs="黑体"/>
          <w:sz w:val="30"/>
        </w:rPr>
        <w:t>年</w:t>
      </w:r>
      <w:r>
        <w:rPr>
          <w:rFonts w:hint="eastAsia" w:ascii="黑体" w:hAnsi="黑体" w:eastAsia="黑体" w:cs="黑体"/>
          <w:sz w:val="30"/>
          <w:lang w:val="en-US" w:eastAsia="zh-CN"/>
        </w:rPr>
        <w:t>6</w:t>
      </w:r>
      <w:r>
        <w:rPr>
          <w:rFonts w:hint="eastAsia" w:ascii="黑体" w:hAnsi="黑体" w:eastAsia="黑体" w:cs="黑体"/>
          <w:sz w:val="30"/>
        </w:rPr>
        <w:t>月</w:t>
      </w:r>
      <w:r>
        <w:rPr>
          <w:rFonts w:hint="eastAsia" w:ascii="黑体" w:hAnsi="黑体" w:eastAsia="黑体" w:cs="黑体"/>
          <w:sz w:val="30"/>
          <w:lang w:val="en-US" w:eastAsia="zh-CN"/>
        </w:rPr>
        <w:t>24</w:t>
      </w:r>
      <w:r>
        <w:rPr>
          <w:rFonts w:hint="eastAsia" w:ascii="黑体" w:hAnsi="黑体" w:eastAsia="黑体" w:cs="黑体"/>
          <w:sz w:val="30"/>
        </w:rPr>
        <w:t>日-</w:t>
      </w:r>
      <w:r>
        <w:rPr>
          <w:rFonts w:hint="eastAsia" w:ascii="黑体" w:hAnsi="黑体" w:eastAsia="黑体" w:cs="黑体"/>
          <w:sz w:val="30"/>
          <w:lang w:val="en-US" w:eastAsia="zh-CN"/>
        </w:rPr>
        <w:t>6</w:t>
      </w:r>
      <w:r>
        <w:rPr>
          <w:rFonts w:ascii="黑体" w:hAnsi="黑体" w:eastAsia="黑体" w:cs="黑体"/>
          <w:sz w:val="30"/>
        </w:rPr>
        <w:t>月</w:t>
      </w:r>
      <w:r>
        <w:rPr>
          <w:rFonts w:hint="eastAsia" w:ascii="黑体" w:hAnsi="黑体" w:eastAsia="黑体" w:cs="黑体"/>
          <w:sz w:val="30"/>
          <w:lang w:val="en-US" w:eastAsia="zh-CN"/>
        </w:rPr>
        <w:t>28</w:t>
      </w:r>
      <w:r>
        <w:rPr>
          <w:rFonts w:ascii="黑体" w:hAnsi="黑体" w:eastAsia="黑体" w:cs="黑体"/>
          <w:sz w:val="30"/>
        </w:rPr>
        <w:t>日）</w:t>
      </w:r>
    </w:p>
    <w:p>
      <w:pPr>
        <w:ind w:firstLine="750"/>
        <w:rPr>
          <w:rFonts w:ascii="黑体" w:hAnsi="黑体" w:eastAsia="黑体" w:cs="黑体"/>
          <w:sz w:val="30"/>
        </w:rPr>
      </w:pPr>
      <w:r>
        <w:rPr>
          <w:rFonts w:ascii="黑体" w:hAnsi="黑体" w:eastAsia="黑体" w:cs="黑体"/>
          <w:sz w:val="30"/>
        </w:rPr>
        <w:t>1、市场概况</w:t>
      </w:r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指数</w:t>
      </w:r>
    </w:p>
    <w:tbl>
      <w:tblPr>
        <w:tblStyle w:val="4"/>
        <w:tblW w:w="75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0"/>
        <w:gridCol w:w="1559"/>
        <w:gridCol w:w="2410"/>
        <w:gridCol w:w="202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5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本周收盘</w:t>
            </w:r>
          </w:p>
        </w:tc>
        <w:tc>
          <w:tcPr>
            <w:tcW w:w="241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本周涨跌幅（%）</w:t>
            </w:r>
          </w:p>
        </w:tc>
        <w:tc>
          <w:tcPr>
            <w:tcW w:w="202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市盈率（倍）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5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E36C09"/>
                <w:sz w:val="30"/>
              </w:rPr>
            </w:pPr>
            <w:r>
              <w:rPr>
                <w:rFonts w:ascii="仿宋_GB2312" w:hAnsi="仿宋_GB2312" w:eastAsia="仿宋_GB2312" w:cs="仿宋_GB2312"/>
                <w:color w:val="E36C09"/>
                <w:sz w:val="30"/>
              </w:rPr>
              <w:t>上证综指</w:t>
            </w:r>
          </w:p>
        </w:tc>
        <w:tc>
          <w:tcPr>
            <w:tcW w:w="15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2979</w:t>
            </w:r>
          </w:p>
        </w:tc>
        <w:tc>
          <w:tcPr>
            <w:tcW w:w="241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-0.77</w:t>
            </w:r>
          </w:p>
        </w:tc>
        <w:tc>
          <w:tcPr>
            <w:tcW w:w="202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13.8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5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E36C09"/>
                <w:sz w:val="30"/>
              </w:rPr>
            </w:pPr>
            <w:r>
              <w:rPr>
                <w:rFonts w:ascii="仿宋_GB2312" w:hAnsi="仿宋_GB2312" w:eastAsia="仿宋_GB2312" w:cs="仿宋_GB2312"/>
                <w:color w:val="E36C09"/>
                <w:sz w:val="30"/>
              </w:rPr>
              <w:t>上证180</w:t>
            </w:r>
          </w:p>
        </w:tc>
        <w:tc>
          <w:tcPr>
            <w:tcW w:w="15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8579</w:t>
            </w:r>
          </w:p>
        </w:tc>
        <w:tc>
          <w:tcPr>
            <w:tcW w:w="241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-0.35</w:t>
            </w:r>
          </w:p>
        </w:tc>
        <w:tc>
          <w:tcPr>
            <w:tcW w:w="202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12.1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5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E36C09"/>
                <w:sz w:val="30"/>
              </w:rPr>
            </w:pPr>
            <w:r>
              <w:rPr>
                <w:rFonts w:ascii="仿宋_GB2312" w:hAnsi="仿宋_GB2312" w:eastAsia="仿宋_GB2312" w:cs="仿宋_GB2312"/>
                <w:color w:val="E36C09"/>
                <w:sz w:val="30"/>
              </w:rPr>
              <w:t>上证380</w:t>
            </w:r>
          </w:p>
        </w:tc>
        <w:tc>
          <w:tcPr>
            <w:tcW w:w="15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4625</w:t>
            </w:r>
          </w:p>
        </w:tc>
        <w:tc>
          <w:tcPr>
            <w:tcW w:w="241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-0.63</w:t>
            </w:r>
          </w:p>
        </w:tc>
        <w:tc>
          <w:tcPr>
            <w:tcW w:w="202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right="592" w:rightChars="282"/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17.0</w:t>
            </w:r>
          </w:p>
        </w:tc>
      </w:tr>
    </w:tbl>
    <w:p>
      <w:pPr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注：市盈率以上年年报利润数据为基准，剔除亏损公司。</w:t>
      </w:r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成交</w:t>
      </w:r>
    </w:p>
    <w:tbl>
      <w:tblPr>
        <w:tblStyle w:val="4"/>
        <w:tblW w:w="764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49"/>
        <w:gridCol w:w="5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本周成交额（亿元）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股票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10229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其中：大宗交易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债券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41143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其中：现货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1281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回购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39862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基金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1552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  <w:jc w:val="center"/>
        </w:trPr>
        <w:tc>
          <w:tcPr>
            <w:tcW w:w="264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3F3F3F"/>
                <w:sz w:val="30"/>
              </w:rPr>
              <w:t>其中：ETF</w:t>
            </w:r>
          </w:p>
        </w:tc>
        <w:tc>
          <w:tcPr>
            <w:tcW w:w="50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628</w:t>
            </w:r>
          </w:p>
        </w:tc>
      </w:tr>
    </w:tbl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规模</w:t>
      </w:r>
    </w:p>
    <w:tbl>
      <w:tblPr>
        <w:tblStyle w:val="4"/>
        <w:tblW w:w="759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5"/>
        <w:gridCol w:w="3402"/>
        <w:gridCol w:w="313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10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bottom"/>
          </w:tcPr>
          <w:p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 xml:space="preserve">       数值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065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股票</w:t>
            </w: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市价总值（万</w:t>
            </w:r>
            <w:r>
              <w:rPr>
                <w:rFonts w:ascii="仿宋_GB2312" w:hAnsi="仿宋_GB2312" w:eastAsia="仿宋_GB2312" w:cs="仿宋_GB2312"/>
                <w:sz w:val="30"/>
              </w:rPr>
              <w:t>亿元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）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32.8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  <w:jc w:val="center"/>
        </w:trPr>
        <w:tc>
          <w:tcPr>
            <w:tcW w:w="1065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上市公司数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1478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0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债券</w:t>
            </w: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债券托管（</w:t>
            </w:r>
            <w:r>
              <w:rPr>
                <w:rFonts w:ascii="仿宋_GB2312" w:hAnsi="仿宋_GB2312" w:eastAsia="仿宋_GB2312" w:cs="仿宋_GB2312"/>
                <w:sz w:val="30"/>
              </w:rPr>
              <w:t>亿元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）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90883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065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基金</w:t>
            </w: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份额（</w:t>
            </w:r>
            <w:r>
              <w:rPr>
                <w:rFonts w:ascii="仿宋_GB2312" w:hAnsi="仿宋_GB2312" w:eastAsia="仿宋_GB2312" w:cs="仿宋_GB2312"/>
                <w:sz w:val="30"/>
              </w:rPr>
              <w:t>亿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份）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1920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atLeast"/>
          <w:jc w:val="center"/>
        </w:trPr>
        <w:tc>
          <w:tcPr>
            <w:tcW w:w="1065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市值（</w:t>
            </w:r>
            <w:r>
              <w:rPr>
                <w:rFonts w:ascii="仿宋_GB2312" w:hAnsi="仿宋_GB2312" w:eastAsia="仿宋_GB2312" w:cs="仿宋_GB2312"/>
                <w:sz w:val="30"/>
              </w:rPr>
              <w:t>亿元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）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5538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  <w:jc w:val="center"/>
        </w:trPr>
        <w:tc>
          <w:tcPr>
            <w:tcW w:w="1065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sz w:val="30"/>
              </w:rPr>
              <w:t>ETF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份额（</w:t>
            </w:r>
            <w:r>
              <w:rPr>
                <w:rFonts w:ascii="仿宋_GB2312" w:hAnsi="仿宋_GB2312" w:eastAsia="仿宋_GB2312" w:cs="仿宋_GB2312"/>
                <w:sz w:val="30"/>
              </w:rPr>
              <w:t>亿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份）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1701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atLeast"/>
          <w:jc w:val="center"/>
        </w:trPr>
        <w:tc>
          <w:tcPr>
            <w:tcW w:w="1065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0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right="592"/>
              <w:jc w:val="left"/>
            </w:pPr>
            <w:r>
              <w:rPr>
                <w:rFonts w:ascii="仿宋_GB2312" w:hAnsi="仿宋_GB2312" w:eastAsia="仿宋_GB2312" w:cs="仿宋_GB2312"/>
                <w:sz w:val="30"/>
              </w:rPr>
              <w:t>ETF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市值（</w:t>
            </w:r>
            <w:r>
              <w:rPr>
                <w:rFonts w:ascii="仿宋_GB2312" w:hAnsi="仿宋_GB2312" w:eastAsia="仿宋_GB2312" w:cs="仿宋_GB2312"/>
                <w:sz w:val="30"/>
              </w:rPr>
              <w:t>亿元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）</w:t>
            </w:r>
          </w:p>
        </w:tc>
        <w:tc>
          <w:tcPr>
            <w:tcW w:w="313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3477</w:t>
            </w:r>
          </w:p>
        </w:tc>
      </w:tr>
    </w:tbl>
    <w:p>
      <w:pPr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注：债券托管数据截止到周四。</w:t>
      </w:r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融资融券</w:t>
      </w:r>
    </w:p>
    <w:tbl>
      <w:tblPr>
        <w:tblStyle w:val="4"/>
        <w:tblW w:w="752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3"/>
        <w:gridCol w:w="409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  <w:jc w:val="center"/>
        </w:trPr>
        <w:tc>
          <w:tcPr>
            <w:tcW w:w="343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9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数值（亿元）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  <w:jc w:val="center"/>
        </w:trPr>
        <w:tc>
          <w:tcPr>
            <w:tcW w:w="343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sz w:val="30"/>
              </w:rPr>
              <w:t>融资融券余额</w:t>
            </w:r>
          </w:p>
        </w:tc>
        <w:tc>
          <w:tcPr>
            <w:tcW w:w="409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5551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343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0"/>
              </w:rPr>
              <w:t>融资余额</w:t>
            </w:r>
          </w:p>
        </w:tc>
        <w:tc>
          <w:tcPr>
            <w:tcW w:w="409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5476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  <w:jc w:val="center"/>
        </w:trPr>
        <w:tc>
          <w:tcPr>
            <w:tcW w:w="343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0"/>
              </w:rPr>
              <w:t>融券余额</w:t>
            </w:r>
          </w:p>
        </w:tc>
        <w:tc>
          <w:tcPr>
            <w:tcW w:w="409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75</w:t>
            </w:r>
          </w:p>
        </w:tc>
      </w:tr>
    </w:tbl>
    <w:p>
      <w:pPr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注：数据截止到周四</w:t>
      </w:r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沪港通</w:t>
      </w:r>
    </w:p>
    <w:tbl>
      <w:tblPr>
        <w:tblStyle w:val="4"/>
        <w:tblW w:w="73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57"/>
        <w:gridCol w:w="400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335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0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E36C09"/>
                <w:sz w:val="30"/>
              </w:rPr>
            </w:pPr>
            <w:r>
              <w:rPr>
                <w:rFonts w:ascii="仿宋_GB2312" w:hAnsi="仿宋_GB2312" w:eastAsia="仿宋_GB2312" w:cs="仿宋_GB2312"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  <w:t>交易额（亿元）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335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沪股通</w:t>
            </w:r>
          </w:p>
        </w:tc>
        <w:tc>
          <w:tcPr>
            <w:tcW w:w="400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756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335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港股通</w:t>
            </w:r>
          </w:p>
        </w:tc>
        <w:tc>
          <w:tcPr>
            <w:tcW w:w="400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245</w:t>
            </w:r>
          </w:p>
        </w:tc>
      </w:tr>
    </w:tbl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  <w:highlight w:val="none"/>
        </w:rPr>
      </w:pPr>
      <w:r>
        <w:rPr>
          <w:rFonts w:ascii="仿宋_GB2312" w:hAnsi="仿宋_GB2312" w:eastAsia="仿宋_GB2312" w:cs="仿宋_GB2312"/>
          <w:sz w:val="30"/>
          <w:highlight w:val="none"/>
        </w:rPr>
        <w:t>股票期权</w:t>
      </w:r>
    </w:p>
    <w:tbl>
      <w:tblPr>
        <w:tblStyle w:val="4"/>
        <w:tblW w:w="7371" w:type="dxa"/>
        <w:tblInd w:w="53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60"/>
        <w:gridCol w:w="411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highlight w:val="none"/>
              </w:rPr>
            </w:pP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FFFFFF"/>
                <w:sz w:val="30"/>
                <w:highlight w:val="none"/>
              </w:rPr>
              <w:t>数值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挂牌合约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auto"/>
              <w:jc w:val="left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周合约成交面值(亿元)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3852.86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周成交量（万张）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1314.53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其中：认购合约（万张）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730.08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其中：认沽合约（万张）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584.45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总持仓量（万张）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279.97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其中：认购合约（万张）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155.33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32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>其中：认沽合约（万张）</w:t>
            </w:r>
          </w:p>
        </w:tc>
        <w:tc>
          <w:tcPr>
            <w:tcW w:w="411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highlight w:val="none"/>
                <w:lang w:val="en-US" w:eastAsia="zh-CN"/>
              </w:rPr>
              <w:t>124.64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</w:rPr>
      </w:pPr>
    </w:p>
    <w:p>
      <w:pPr>
        <w:ind w:firstLine="600"/>
        <w:rPr>
          <w:rFonts w:ascii="黑体" w:hAnsi="黑体" w:eastAsia="黑体" w:cs="黑体"/>
          <w:sz w:val="30"/>
        </w:rPr>
      </w:pPr>
      <w:r>
        <w:rPr>
          <w:rFonts w:ascii="黑体" w:hAnsi="黑体" w:eastAsia="黑体" w:cs="黑体"/>
          <w:sz w:val="30"/>
        </w:rPr>
        <w:t>2、筹融资情况</w:t>
      </w:r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发行上市</w:t>
      </w:r>
    </w:p>
    <w:tbl>
      <w:tblPr>
        <w:tblStyle w:val="4"/>
        <w:tblW w:w="73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7"/>
        <w:gridCol w:w="1086"/>
        <w:gridCol w:w="2258"/>
        <w:gridCol w:w="279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  <w:jc w:val="center"/>
        </w:trPr>
        <w:tc>
          <w:tcPr>
            <w:tcW w:w="2323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5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本周家数</w:t>
            </w:r>
          </w:p>
        </w:tc>
        <w:tc>
          <w:tcPr>
            <w:tcW w:w="279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C0504D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FFFFFF"/>
                <w:sz w:val="30"/>
              </w:rPr>
              <w:t>本周筹资额（亿元）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1237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4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股票</w:t>
            </w:r>
          </w:p>
        </w:tc>
        <w:tc>
          <w:tcPr>
            <w:tcW w:w="108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4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 xml:space="preserve">IPO </w:t>
            </w:r>
          </w:p>
        </w:tc>
        <w:tc>
          <w:tcPr>
            <w:tcW w:w="225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3</w:t>
            </w:r>
          </w:p>
        </w:tc>
        <w:tc>
          <w:tcPr>
            <w:tcW w:w="279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  <w:jc w:val="center"/>
        </w:trPr>
        <w:tc>
          <w:tcPr>
            <w:tcW w:w="1237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08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4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再融资</w:t>
            </w:r>
          </w:p>
        </w:tc>
        <w:tc>
          <w:tcPr>
            <w:tcW w:w="225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30</w:t>
            </w:r>
          </w:p>
        </w:tc>
        <w:tc>
          <w:tcPr>
            <w:tcW w:w="279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  <w:jc w:val="center"/>
        </w:trPr>
        <w:tc>
          <w:tcPr>
            <w:tcW w:w="2323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债券</w:t>
            </w:r>
          </w:p>
        </w:tc>
        <w:tc>
          <w:tcPr>
            <w:tcW w:w="225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57</w:t>
            </w:r>
          </w:p>
        </w:tc>
        <w:tc>
          <w:tcPr>
            <w:tcW w:w="279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589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2323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30"/>
              </w:rPr>
              <w:t>优先股</w:t>
            </w:r>
          </w:p>
        </w:tc>
        <w:tc>
          <w:tcPr>
            <w:tcW w:w="225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0</w:t>
            </w:r>
          </w:p>
        </w:tc>
        <w:tc>
          <w:tcPr>
            <w:tcW w:w="279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ECE1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E36C09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E36C09"/>
                <w:sz w:val="30"/>
                <w:lang w:val="en-US" w:eastAsia="zh-CN"/>
              </w:rPr>
              <w:t>0</w:t>
            </w:r>
          </w:p>
        </w:tc>
      </w:tr>
    </w:tbl>
    <w:p>
      <w:pPr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ascii="仿宋_GB2312" w:hAnsi="仿宋_GB2312" w:eastAsia="仿宋_GB2312" w:cs="仿宋_GB2312"/>
          <w:sz w:val="30"/>
        </w:rPr>
        <w:t>注：筹资额以上市日为基准。债券融资指公司债融资。</w:t>
      </w:r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highlight w:val="none"/>
          <w:lang w:eastAsia="zh-CN"/>
        </w:rPr>
        <w:t>科创板项目动态</w:t>
      </w:r>
    </w:p>
    <w:p>
      <w:pPr>
        <w:numPr>
          <w:ilvl w:val="0"/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highlight w:val="none"/>
        </w:rPr>
        <w:t>截至本周五1</w:t>
      </w:r>
      <w:r>
        <w:rPr>
          <w:rFonts w:hint="eastAsia" w:ascii="仿宋_GB2312" w:hAnsi="仿宋_GB2312" w:eastAsia="仿宋_GB2312" w:cs="仿宋_GB2312"/>
          <w:sz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highlight w:val="none"/>
        </w:rPr>
        <w:t>时，经履行对企业申请文件齐备性、中介机构资质等的核对程序，对其中1</w:t>
      </w:r>
      <w:r>
        <w:rPr>
          <w:rFonts w:hint="eastAsia" w:ascii="仿宋_GB2312" w:hAnsi="仿宋_GB2312" w:eastAsia="仿宋_GB2312" w:cs="仿宋_GB2312"/>
          <w:sz w:val="30"/>
          <w:highlight w:val="none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0"/>
          <w:highlight w:val="none"/>
        </w:rPr>
        <w:t>家企业作出受理决定。</w:t>
      </w:r>
      <w:r>
        <w:rPr>
          <w:rFonts w:hint="eastAsia" w:ascii="仿宋_GB2312" w:hAnsi="仿宋_GB2312" w:eastAsia="仿宋_GB2312" w:cs="仿宋_GB2312"/>
          <w:sz w:val="30"/>
          <w:highlight w:val="none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z w:val="30"/>
          <w:highlight w:val="none"/>
        </w:rPr>
        <w:t>家受理企业中，</w:t>
      </w:r>
      <w:r>
        <w:rPr>
          <w:rFonts w:hint="eastAsia" w:ascii="仿宋_GB2312" w:hAnsi="仿宋_GB2312" w:eastAsia="仿宋_GB2312" w:cs="仿宋_GB2312"/>
          <w:sz w:val="30"/>
          <w:highlight w:val="none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sz w:val="30"/>
          <w:highlight w:val="none"/>
        </w:rPr>
        <w:t>家进入已问询状态。</w:t>
      </w:r>
      <w:bookmarkStart w:id="0" w:name="_GoBack"/>
      <w:bookmarkEnd w:id="0"/>
    </w:p>
    <w:p>
      <w:pPr>
        <w:numPr>
          <w:ilvl w:val="0"/>
          <w:numId w:val="1"/>
        </w:numPr>
        <w:ind w:left="1480" w:hanging="640"/>
        <w:rPr>
          <w:rFonts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highlight w:val="none"/>
          <w:lang w:eastAsia="zh-CN"/>
        </w:rPr>
        <w:t>公司债审核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highlight w:val="none"/>
          <w:lang w:val="en-GB"/>
        </w:rPr>
      </w:pPr>
      <w:r>
        <w:rPr>
          <w:rFonts w:hint="eastAsia" w:ascii="仿宋_GB2312" w:hAnsi="仿宋_GB2312" w:eastAsia="仿宋_GB2312" w:cs="仿宋_GB2312"/>
          <w:sz w:val="30"/>
          <w:highlight w:val="none"/>
          <w:lang w:val="en-GB"/>
        </w:rPr>
        <w:t>本周，本所共受理54家企业的发债申请，拟发行金额共计1178亿元。</w:t>
      </w:r>
    </w:p>
    <w:p>
      <w:pPr>
        <w:ind w:firstLine="600"/>
        <w:rPr>
          <w:rFonts w:ascii="黑体" w:hAnsi="黑体" w:eastAsia="黑体" w:cs="黑体"/>
          <w:color w:val="000000"/>
          <w:sz w:val="30"/>
          <w:highlight w:val="none"/>
        </w:rPr>
      </w:pPr>
      <w:r>
        <w:rPr>
          <w:rFonts w:ascii="仿宋_GB2312" w:hAnsi="仿宋_GB2312" w:eastAsia="仿宋_GB2312" w:cs="仿宋_GB2312"/>
          <w:sz w:val="30"/>
          <w:highlight w:val="none"/>
        </w:rPr>
        <w:t> </w:t>
      </w:r>
      <w:r>
        <w:rPr>
          <w:rFonts w:ascii="黑体" w:hAnsi="黑体" w:eastAsia="黑体" w:cs="黑体"/>
          <w:sz w:val="30"/>
          <w:highlight w:val="none"/>
        </w:rPr>
        <w:t>3、沪市</w:t>
      </w:r>
      <w:r>
        <w:rPr>
          <w:rFonts w:ascii="黑体" w:hAnsi="黑体" w:eastAsia="黑体" w:cs="黑体"/>
          <w:color w:val="000000"/>
          <w:sz w:val="30"/>
          <w:highlight w:val="none"/>
        </w:rPr>
        <w:t>监管概览</w:t>
      </w:r>
    </w:p>
    <w:p>
      <w:pPr>
        <w:numPr>
          <w:ilvl w:val="0"/>
          <w:numId w:val="1"/>
        </w:numPr>
        <w:ind w:left="1480" w:hanging="640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highlight w:val="none"/>
        </w:rPr>
        <w:t>上市公司监管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highlight w:val="none"/>
        </w:rPr>
        <w:t>本周，上交所公司监管部门共发送日常监管类函件17份，其中监管问询函11份，监管工作函6份；通过事中事后监管，要求上市公司披露补充、更正类公告16份。针对信息披露违规行为，采取监管关注措施1单，采取纪律处分措施3单。同时，加大信息披露和股价异常的联动监管，针对公司披露敏感信息或股价发生明显异常的，提请启动内幕交易、异常交易核查13单。</w:t>
      </w:r>
    </w:p>
    <w:p>
      <w:pPr>
        <w:numPr>
          <w:ilvl w:val="0"/>
          <w:numId w:val="1"/>
        </w:numPr>
        <w:ind w:left="1480" w:hanging="640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highlight w:val="none"/>
        </w:rPr>
        <w:t>市场交易监管</w:t>
      </w:r>
    </w:p>
    <w:p>
      <w:pPr>
        <w:ind w:firstLine="600"/>
        <w:rPr>
          <w:rFonts w:ascii="仿宋_GB2312" w:eastAsia="仿宋_GB2312"/>
          <w:sz w:val="27"/>
          <w:szCs w:val="27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本周，沪市共发生32起连续竞价阶段拉抬打压、自买自卖等证券异常交易行为，上交所对此及时采取了自律监管措施。同时，针对10起上市公司重大事项等进行核查，向证监会上报6起涉嫌违法违规案件线索。       </w:t>
      </w:r>
      <w:r>
        <w:rPr>
          <w:rFonts w:ascii="仿宋_GB2312" w:eastAsia="仿宋_GB2312"/>
          <w:sz w:val="27"/>
          <w:szCs w:val="27"/>
        </w:rPr>
        <w:t> </w:t>
      </w:r>
    </w:p>
    <w:p>
      <w:pPr>
        <w:pStyle w:val="3"/>
        <w:jc w:val="both"/>
      </w:pPr>
      <w:r>
        <w:rPr>
          <w:rFonts w:ascii="仿宋_GB2312" w:hAnsi="仿宋_GB2312" w:eastAsia="仿宋_GB2312" w:cs="仿宋_GB2312"/>
          <w:sz w:val="30"/>
        </w:rPr>
        <w:t>（查看更多市场运行信息请登陆上交所官方网站www.sse.com.cn）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121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B51F"/>
    <w:multiLevelType w:val="singleLevel"/>
    <w:tmpl w:val="6B2AB5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92FF4"/>
    <w:rsid w:val="024965F1"/>
    <w:rsid w:val="03B5168C"/>
    <w:rsid w:val="05F92FF4"/>
    <w:rsid w:val="11DE4F90"/>
    <w:rsid w:val="1C2B3D29"/>
    <w:rsid w:val="316B187A"/>
    <w:rsid w:val="3E146829"/>
    <w:rsid w:val="590D5C49"/>
    <w:rsid w:val="60C54635"/>
    <w:rsid w:val="651C75D7"/>
    <w:rsid w:val="6AEE75D2"/>
    <w:rsid w:val="73FC2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2019-06-28T06:17:00Z</dcterms:created>
  <dc:creator>Cathy-rao</dc:creator>
  <cp:lastModifiedBy>Cathy-rao</cp:lastModifiedBy>
  <dcterms:modified xsi:type="dcterms:W3CDTF">2019-06-28T09:33:11Z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