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E86" w:rsidRPr="00441E86" w:rsidRDefault="00441E86" w:rsidP="00441E86">
      <w:pPr>
        <w:widowControl/>
        <w:spacing w:after="675"/>
        <w:jc w:val="center"/>
        <w:outlineLvl w:val="0"/>
        <w:rPr>
          <w:rFonts w:ascii="微软雅黑" w:eastAsia="微软雅黑" w:hAnsi="微软雅黑" w:cs="宋体"/>
          <w:color w:val="333333"/>
          <w:kern w:val="36"/>
          <w:sz w:val="57"/>
          <w:szCs w:val="57"/>
        </w:rPr>
      </w:pPr>
      <w:r w:rsidRPr="00441E86">
        <w:rPr>
          <w:rFonts w:ascii="微软雅黑" w:eastAsia="微软雅黑" w:hAnsi="微软雅黑" w:cs="宋体" w:hint="eastAsia"/>
          <w:color w:val="333333"/>
          <w:kern w:val="36"/>
          <w:sz w:val="57"/>
          <w:szCs w:val="57"/>
        </w:rPr>
        <w:t>《标准联通共建“一带一路”行动计划 （2018-2020年）》</w:t>
      </w:r>
    </w:p>
    <w:p w:rsidR="00441E86" w:rsidRPr="00441E86" w:rsidRDefault="00441E86" w:rsidP="00441E86">
      <w:pPr>
        <w:widowControl/>
        <w:jc w:val="center"/>
        <w:rPr>
          <w:rFonts w:ascii="微软雅黑" w:eastAsia="微软雅黑" w:hAnsi="微软雅黑" w:cs="宋体" w:hint="eastAsia"/>
          <w:color w:val="2B2B2B"/>
          <w:kern w:val="0"/>
          <w:sz w:val="18"/>
          <w:szCs w:val="18"/>
        </w:rPr>
      </w:pPr>
      <w:r w:rsidRPr="00441E86">
        <w:rPr>
          <w:rFonts w:ascii="宋体" w:eastAsia="宋体" w:hAnsi="宋体" w:cs="宋体" w:hint="eastAsia"/>
          <w:color w:val="808080"/>
          <w:kern w:val="0"/>
          <w:sz w:val="18"/>
        </w:rPr>
        <w:t>发布时间：2018-01-11 10:45:20</w:t>
      </w:r>
      <w:r w:rsidRPr="00441E86">
        <w:rPr>
          <w:rFonts w:ascii="微软雅黑" w:eastAsia="微软雅黑" w:hAnsi="微软雅黑" w:cs="宋体" w:hint="eastAsia"/>
          <w:color w:val="2B2B2B"/>
          <w:kern w:val="0"/>
          <w:sz w:val="18"/>
          <w:szCs w:val="18"/>
        </w:rPr>
        <w:t> </w:t>
      </w:r>
      <w:r w:rsidRPr="00441E86">
        <w:rPr>
          <w:rFonts w:ascii="宋体" w:eastAsia="宋体" w:hAnsi="宋体" w:cs="宋体" w:hint="eastAsia"/>
          <w:color w:val="808080"/>
          <w:kern w:val="0"/>
          <w:sz w:val="18"/>
        </w:rPr>
        <w:t>来源：中国一带</w:t>
      </w:r>
      <w:proofErr w:type="gramStart"/>
      <w:r w:rsidRPr="00441E86">
        <w:rPr>
          <w:rFonts w:ascii="宋体" w:eastAsia="宋体" w:hAnsi="宋体" w:cs="宋体" w:hint="eastAsia"/>
          <w:color w:val="808080"/>
          <w:kern w:val="0"/>
          <w:sz w:val="18"/>
        </w:rPr>
        <w:t>一</w:t>
      </w:r>
      <w:proofErr w:type="gramEnd"/>
      <w:r w:rsidRPr="00441E86">
        <w:rPr>
          <w:rFonts w:ascii="宋体" w:eastAsia="宋体" w:hAnsi="宋体" w:cs="宋体" w:hint="eastAsia"/>
          <w:color w:val="808080"/>
          <w:kern w:val="0"/>
          <w:sz w:val="18"/>
        </w:rPr>
        <w:t>路网</w:t>
      </w:r>
    </w:p>
    <w:p w:rsidR="00441E86" w:rsidRPr="00441E86" w:rsidRDefault="00441E86" w:rsidP="00441E86">
      <w:pPr>
        <w:widowControl/>
        <w:jc w:val="left"/>
        <w:rPr>
          <w:rFonts w:ascii="微软雅黑" w:eastAsia="微软雅黑" w:hAnsi="微软雅黑" w:cs="宋体" w:hint="eastAsia"/>
          <w:color w:val="2B2B2B"/>
          <w:kern w:val="0"/>
          <w:sz w:val="18"/>
          <w:szCs w:val="18"/>
        </w:rPr>
      </w:pPr>
      <w:r w:rsidRPr="00441E86">
        <w:rPr>
          <w:rFonts w:ascii="宋体" w:eastAsia="宋体" w:hAnsi="宋体" w:cs="宋体" w:hint="eastAsia"/>
          <w:color w:val="808080"/>
          <w:kern w:val="0"/>
          <w:sz w:val="18"/>
        </w:rPr>
        <w:t>分享到：</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color w:val="2B2B2B"/>
          <w:kern w:val="0"/>
          <w:sz w:val="24"/>
          <w:szCs w:val="24"/>
        </w:rPr>
        <w:t>标准是人类文明进步的成果，是世界通用语言，标准促进世界互联互通。在推进“一带一路”建设中，标准与政策、规则相辅相成、共同推进，为互联互通提供重要的机制保障。为贯彻落实《推动共建丝绸之路经济带和21世纪海上丝绸之路的愿景与行动》和2017年“一带一路”国际合作高峰论坛精神，在实施《标准联通“一带一路”行动计划（2015-2017）》的基础上，围绕推进“一带一路”建设新阶段的总体要求和重点任务，结合标准化工作实际，制定本行动计划。</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b/>
          <w:bCs/>
          <w:color w:val="2B2B2B"/>
          <w:kern w:val="0"/>
          <w:sz w:val="24"/>
          <w:szCs w:val="24"/>
        </w:rPr>
        <w:t>一、总体要求</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color w:val="2B2B2B"/>
          <w:kern w:val="0"/>
          <w:sz w:val="24"/>
          <w:szCs w:val="24"/>
        </w:rPr>
        <w:t>认真学习全面贯彻党的十九大精神，深刻领会习近平总书记关于推进“一带一路”建设的系列重要讲话精神，认真落</w:t>
      </w:r>
      <w:proofErr w:type="gramStart"/>
      <w:r w:rsidRPr="00441E86">
        <w:rPr>
          <w:rFonts w:ascii="宋体" w:eastAsia="宋体" w:hAnsi="宋体" w:cs="宋体" w:hint="eastAsia"/>
          <w:color w:val="2B2B2B"/>
          <w:kern w:val="0"/>
          <w:sz w:val="24"/>
          <w:szCs w:val="24"/>
        </w:rPr>
        <w:t>实习近</w:t>
      </w:r>
      <w:proofErr w:type="gramEnd"/>
      <w:r w:rsidRPr="00441E86">
        <w:rPr>
          <w:rFonts w:ascii="宋体" w:eastAsia="宋体" w:hAnsi="宋体" w:cs="宋体" w:hint="eastAsia"/>
          <w:color w:val="2B2B2B"/>
          <w:kern w:val="0"/>
          <w:sz w:val="24"/>
          <w:szCs w:val="24"/>
        </w:rPr>
        <w:t>平总书记在第39届国际标准化组织(ISO) 大会对标准化工作的指示要求，坚持需求导向、标准引领、创新合作、互利共赢、滚动实施原则，主动加强与沿线国家标准化战略对接和标准体系相互兼容，大力推动中国标准国际化，强化标准与政策、规则的有机衔接，以标准“软联通”打造合作“硬机制”，努力提高标准体系兼容性，支撑基础设施互联互通建设，促进国际产能与装备制造合作，服务投资贸易便利化和人文交流深入化，为推进“一带一路”建设提供坚实技术支撑和有力机制保障。</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b/>
          <w:bCs/>
          <w:color w:val="2B2B2B"/>
          <w:kern w:val="0"/>
          <w:sz w:val="24"/>
          <w:szCs w:val="24"/>
        </w:rPr>
        <w:t>二、主要目标</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color w:val="2B2B2B"/>
          <w:kern w:val="0"/>
          <w:sz w:val="24"/>
          <w:szCs w:val="24"/>
        </w:rPr>
        <w:t>到2020年，基本形成交流互鉴、开放包容、互联互通、成果共享的标准国际化发展新局面，基本建成政府推动、市场主导、多方参与、协同推进的标准国</w:t>
      </w:r>
      <w:r w:rsidRPr="00441E86">
        <w:rPr>
          <w:rFonts w:ascii="宋体" w:eastAsia="宋体" w:hAnsi="宋体" w:cs="宋体" w:hint="eastAsia"/>
          <w:color w:val="2B2B2B"/>
          <w:kern w:val="0"/>
          <w:sz w:val="24"/>
          <w:szCs w:val="24"/>
        </w:rPr>
        <w:lastRenderedPageBreak/>
        <w:t>际化工作新格局，中国标准与国际和各国标准体系兼容水平不断提高，标准化在推进“一带一路”建设中的基础性和战略性作用充分发挥。</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color w:val="2B2B2B"/>
          <w:kern w:val="0"/>
          <w:sz w:val="24"/>
          <w:szCs w:val="24"/>
        </w:rPr>
        <w:t>——标准化开放合作不断深化。巩固提高与欧洲、东盟、金砖国家、东北亚、北美、非洲、大洋洲等区域国家标准化合作水平，拓展延伸与中东欧、中亚、西亚、阿拉伯国家等区域标准化合作渠道，基本实现全面建成与“一带一路”沿线重点国家畅通的标准化合作机制。</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color w:val="2B2B2B"/>
          <w:kern w:val="0"/>
          <w:sz w:val="24"/>
          <w:szCs w:val="24"/>
        </w:rPr>
        <w:t>——标准“走出去”步伐更加坚实。努力推动与沿线国家新发布一批互认标准，在工业、农业和服务业等领域打造一批海外标准化示范项目，实施一批援外标准化培训项目。</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color w:val="2B2B2B"/>
          <w:kern w:val="0"/>
          <w:sz w:val="24"/>
          <w:szCs w:val="24"/>
        </w:rPr>
        <w:t>——标准互认领域不断扩大。成体系部署中国标准外文</w:t>
      </w:r>
      <w:proofErr w:type="gramStart"/>
      <w:r w:rsidRPr="00441E86">
        <w:rPr>
          <w:rFonts w:ascii="宋体" w:eastAsia="宋体" w:hAnsi="宋体" w:cs="宋体" w:hint="eastAsia"/>
          <w:color w:val="2B2B2B"/>
          <w:kern w:val="0"/>
          <w:sz w:val="24"/>
          <w:szCs w:val="24"/>
        </w:rPr>
        <w:t>版制定</w:t>
      </w:r>
      <w:proofErr w:type="gramEnd"/>
      <w:r w:rsidRPr="00441E86">
        <w:rPr>
          <w:rFonts w:ascii="宋体" w:eastAsia="宋体" w:hAnsi="宋体" w:cs="宋体" w:hint="eastAsia"/>
          <w:color w:val="2B2B2B"/>
          <w:kern w:val="0"/>
          <w:sz w:val="24"/>
          <w:szCs w:val="24"/>
        </w:rPr>
        <w:t>计划或任务不少于1000项，开展重点领域标准中关键技术指标比对数量力争达到2000个。</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color w:val="2B2B2B"/>
          <w:kern w:val="0"/>
          <w:sz w:val="24"/>
          <w:szCs w:val="24"/>
        </w:rPr>
        <w:t>——中国标准品牌效应明显提升。持续提升中国标准与国际标准体系一致化程度，制定推进“一带一路”建设相关领域中国标准名录，推动中国标准在“一带一路”建设中的应用。</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b/>
          <w:bCs/>
          <w:color w:val="2B2B2B"/>
          <w:kern w:val="0"/>
          <w:sz w:val="24"/>
          <w:szCs w:val="24"/>
        </w:rPr>
        <w:t>三、重点任务</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color w:val="2B2B2B"/>
          <w:kern w:val="0"/>
          <w:sz w:val="24"/>
          <w:szCs w:val="24"/>
        </w:rPr>
        <w:t>紧紧围绕政策沟通、设施联通、贸易畅通、资金融通、民心相通，聚焦互联互通建设关键通道和重大项目，针对重点国家和区域，开展基础设施、产能合作、贸易金融、能源环境、减</w:t>
      </w:r>
      <w:proofErr w:type="gramStart"/>
      <w:r w:rsidRPr="00441E86">
        <w:rPr>
          <w:rFonts w:ascii="宋体" w:eastAsia="宋体" w:hAnsi="宋体" w:cs="宋体" w:hint="eastAsia"/>
          <w:color w:val="2B2B2B"/>
          <w:kern w:val="0"/>
          <w:sz w:val="24"/>
          <w:szCs w:val="24"/>
        </w:rPr>
        <w:t>贫实践</w:t>
      </w:r>
      <w:proofErr w:type="gramEnd"/>
      <w:r w:rsidRPr="00441E86">
        <w:rPr>
          <w:rFonts w:ascii="宋体" w:eastAsia="宋体" w:hAnsi="宋体" w:cs="宋体" w:hint="eastAsia"/>
          <w:color w:val="2B2B2B"/>
          <w:kern w:val="0"/>
          <w:sz w:val="24"/>
          <w:szCs w:val="24"/>
        </w:rPr>
        <w:t>等标准化</w:t>
      </w:r>
      <w:proofErr w:type="gramStart"/>
      <w:r w:rsidRPr="00441E86">
        <w:rPr>
          <w:rFonts w:ascii="宋体" w:eastAsia="宋体" w:hAnsi="宋体" w:cs="宋体" w:hint="eastAsia"/>
          <w:color w:val="2B2B2B"/>
          <w:kern w:val="0"/>
          <w:sz w:val="24"/>
          <w:szCs w:val="24"/>
        </w:rPr>
        <w:t>全领域</w:t>
      </w:r>
      <w:proofErr w:type="gramEnd"/>
      <w:r w:rsidRPr="00441E86">
        <w:rPr>
          <w:rFonts w:ascii="宋体" w:eastAsia="宋体" w:hAnsi="宋体" w:cs="宋体" w:hint="eastAsia"/>
          <w:color w:val="2B2B2B"/>
          <w:kern w:val="0"/>
          <w:sz w:val="24"/>
          <w:szCs w:val="24"/>
        </w:rPr>
        <w:t>合作，促进标准化战略、政策、措施、项目的全方位对接，推动标准研究、制定、互换、互译、互认、转化、推广等全过程融通，努力实现各国标准体系相互兼容，树立共建“一带一路”倡议中国标准新形象。</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color w:val="2B2B2B"/>
          <w:kern w:val="0"/>
          <w:sz w:val="24"/>
          <w:szCs w:val="24"/>
        </w:rPr>
        <w:t>（一）对接战略规划，凝聚标准联通共建“一带一路”国际共识。推动《国家标准化体系建设发展规划（2016-2020年）》、《装备制造业标准化和质量提升规划》、《消费品标准和质量提升规划(2016-2020年)》等中国战略规划与沿线国家或区域标准化战略规划对接，寻求合作契合点，研究建立合作机制。开展沿线重点国家以及国际、区域标准组织的标准化政策、战略研究，编纂《全球标准化战略汇编》。以《关于加强标准合作，助推“一带一路”建设联合倡议》为</w:t>
      </w:r>
      <w:r w:rsidRPr="00441E86">
        <w:rPr>
          <w:rFonts w:ascii="宋体" w:eastAsia="宋体" w:hAnsi="宋体" w:cs="宋体" w:hint="eastAsia"/>
          <w:color w:val="2B2B2B"/>
          <w:kern w:val="0"/>
          <w:sz w:val="24"/>
          <w:szCs w:val="24"/>
        </w:rPr>
        <w:lastRenderedPageBreak/>
        <w:t>契机，加快与俄罗斯、白俄罗斯、塞尔维亚等12个签署协议国家合作对接，推动将标准化纳入国家外交、科技、商务、质检等国家间合作框架协议。</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color w:val="2B2B2B"/>
          <w:kern w:val="0"/>
          <w:sz w:val="24"/>
          <w:szCs w:val="24"/>
        </w:rPr>
        <w:t>（二）深化基础设施标准化合作，支撑设施联通网络建设。在交通基础设施方面，持续完善铁路、公路、水运、民航等技术标准体系，开展标准外文版制定。在能源基础设施方面，开展沿线国家油气管道标准分析研究，加强与俄罗斯、白俄罗斯、哈萨克斯坦等国家在电力、电网和新能源等领域国际标准化合作，促进国家和地区间能源资源优化配置。在信息基础设施方面，倡导研制城市间信息互联互通标准，在沿线国家开展中国数字电视技术标准、中国巨幕系统和激光放映技术、点播影院技术规范的示范推广，推动联合开展本地化数字电视标准制定。</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color w:val="2B2B2B"/>
          <w:kern w:val="0"/>
          <w:sz w:val="24"/>
          <w:szCs w:val="24"/>
        </w:rPr>
        <w:t>（三）推进国际产能和装备制造标准化合作，推动实体经济更好更快发展。在石油天然气、核电等产能合作重点领域，在工程项目设计研发、原料采购、生产加工、检验检测和售后服务等各环节引导和帮助企业积极采用科学适用的标准体系，助</w:t>
      </w:r>
      <w:proofErr w:type="gramStart"/>
      <w:r w:rsidRPr="00441E86">
        <w:rPr>
          <w:rFonts w:ascii="宋体" w:eastAsia="宋体" w:hAnsi="宋体" w:cs="宋体" w:hint="eastAsia"/>
          <w:color w:val="2B2B2B"/>
          <w:kern w:val="0"/>
          <w:sz w:val="24"/>
          <w:szCs w:val="24"/>
        </w:rPr>
        <w:t>推国际</w:t>
      </w:r>
      <w:proofErr w:type="gramEnd"/>
      <w:r w:rsidRPr="00441E86">
        <w:rPr>
          <w:rFonts w:ascii="宋体" w:eastAsia="宋体" w:hAnsi="宋体" w:cs="宋体" w:hint="eastAsia"/>
          <w:color w:val="2B2B2B"/>
          <w:kern w:val="0"/>
          <w:sz w:val="24"/>
          <w:szCs w:val="24"/>
        </w:rPr>
        <w:t>产能合作重点项目落地。在建材、纺织、钢铁、有色金属、农业、家电等优势产能领域，帮助沿线重点国家完善标准体系，提供标准化信息服务。在航空、船舶、工程机械等装备制造领域，联合沿线国家共同制定国际标准，完善国际标准体系建设。</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color w:val="2B2B2B"/>
          <w:kern w:val="0"/>
          <w:sz w:val="24"/>
          <w:szCs w:val="24"/>
        </w:rPr>
        <w:t>（四）拓展对外贸易标准化合作，推动对外贸易发展。在自贸区谈判中，积极推进标准协调一致。在亚太经合组织、太平洋地区标准大会等区域组织，积极倡导采用国际标准，提高与北美、日韩、东南亚等重点区域国家</w:t>
      </w:r>
      <w:proofErr w:type="gramStart"/>
      <w:r w:rsidRPr="00441E86">
        <w:rPr>
          <w:rFonts w:ascii="宋体" w:eastAsia="宋体" w:hAnsi="宋体" w:cs="宋体" w:hint="eastAsia"/>
          <w:color w:val="2B2B2B"/>
          <w:kern w:val="0"/>
          <w:sz w:val="24"/>
          <w:szCs w:val="24"/>
        </w:rPr>
        <w:t>间标准</w:t>
      </w:r>
      <w:proofErr w:type="gramEnd"/>
      <w:r w:rsidRPr="00441E86">
        <w:rPr>
          <w:rFonts w:ascii="宋体" w:eastAsia="宋体" w:hAnsi="宋体" w:cs="宋体" w:hint="eastAsia"/>
          <w:color w:val="2B2B2B"/>
          <w:kern w:val="0"/>
          <w:sz w:val="24"/>
          <w:szCs w:val="24"/>
        </w:rPr>
        <w:t>的一致化程度。支撑中欧班列建设，完善物流服务、托盘、国际货运代理等标准化合作，提高运行品质。加强电子商务标准国际合作，发展电子商务标准服务新模式。建设“一带一路”国际合作诚信电子商务网络，推动中、俄、</w:t>
      </w:r>
      <w:proofErr w:type="gramStart"/>
      <w:r w:rsidRPr="00441E86">
        <w:rPr>
          <w:rFonts w:ascii="宋体" w:eastAsia="宋体" w:hAnsi="宋体" w:cs="宋体" w:hint="eastAsia"/>
          <w:color w:val="2B2B2B"/>
          <w:kern w:val="0"/>
          <w:sz w:val="24"/>
          <w:szCs w:val="24"/>
        </w:rPr>
        <w:t>欧铁路</w:t>
      </w:r>
      <w:proofErr w:type="gramEnd"/>
      <w:r w:rsidRPr="00441E86">
        <w:rPr>
          <w:rFonts w:ascii="宋体" w:eastAsia="宋体" w:hAnsi="宋体" w:cs="宋体" w:hint="eastAsia"/>
          <w:color w:val="2B2B2B"/>
          <w:kern w:val="0"/>
          <w:sz w:val="24"/>
          <w:szCs w:val="24"/>
        </w:rPr>
        <w:t>跨境电商物流业务发展标准合作。促进电子商务数据服务、物流应用、追溯体系标准化，</w:t>
      </w:r>
      <w:proofErr w:type="gramStart"/>
      <w:r w:rsidRPr="00441E86">
        <w:rPr>
          <w:rFonts w:ascii="宋体" w:eastAsia="宋体" w:hAnsi="宋体" w:cs="宋体" w:hint="eastAsia"/>
          <w:color w:val="2B2B2B"/>
          <w:kern w:val="0"/>
          <w:sz w:val="24"/>
          <w:szCs w:val="24"/>
        </w:rPr>
        <w:t>实现线</w:t>
      </w:r>
      <w:proofErr w:type="gramEnd"/>
      <w:r w:rsidRPr="00441E86">
        <w:rPr>
          <w:rFonts w:ascii="宋体" w:eastAsia="宋体" w:hAnsi="宋体" w:cs="宋体" w:hint="eastAsia"/>
          <w:color w:val="2B2B2B"/>
          <w:kern w:val="0"/>
          <w:sz w:val="24"/>
          <w:szCs w:val="24"/>
        </w:rPr>
        <w:t>上线下、国内国外一体化发展。</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color w:val="2B2B2B"/>
          <w:kern w:val="0"/>
          <w:sz w:val="24"/>
          <w:szCs w:val="24"/>
        </w:rPr>
        <w:t>（五）加强节能环保标准化合作，服务绿色“一带一路”建设。加快绿色产品评价标准的研究制定，推动产品标准体系构建，加强绿色产品标准、认证认可合作交流，推广绿色产品标准，推动绿色产品认证与标识的国际互认，减少绿色贸易壁垒，促进绿色贸易发展。推进绿色基础设施的标准化建设，以标准提升基础设施运营、管理和维护过程中的绿色化、低碳化水平，强化生态环境质量保障。</w:t>
      </w:r>
      <w:r w:rsidRPr="00441E86">
        <w:rPr>
          <w:rFonts w:ascii="宋体" w:eastAsia="宋体" w:hAnsi="宋体" w:cs="宋体" w:hint="eastAsia"/>
          <w:color w:val="2B2B2B"/>
          <w:kern w:val="0"/>
          <w:sz w:val="24"/>
          <w:szCs w:val="24"/>
        </w:rPr>
        <w:lastRenderedPageBreak/>
        <w:t>深化节能领域标准化合作，推动与区域重点国家节能标准的协调，开展制冷空调、照明产品等节能标准化合作研究，支撑绿色产业和生态环保合作项目建设。</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color w:val="2B2B2B"/>
          <w:kern w:val="0"/>
          <w:sz w:val="24"/>
          <w:szCs w:val="24"/>
        </w:rPr>
        <w:t>（六）推动人文领域标准化合作，促进文明交流互鉴。强化标准化人员交流，推动标准化专家、技术人员交流互访，开展沿线国家标准化人员培训，夯实合作基础。促进人文领域标准制定合作，在新闻出版广播影视、文物修复和展览、博物馆、世界文化遗产管理等领域，与沿线国家合作开展标准制定研究。加强与沿线国家的旅游标准化合作交流，推介旅游业标准。开展与沿线国家在艺术品质量管理标准化的交流互鉴，促进艺术品</w:t>
      </w:r>
      <w:proofErr w:type="gramStart"/>
      <w:r w:rsidRPr="00441E86">
        <w:rPr>
          <w:rFonts w:ascii="宋体" w:eastAsia="宋体" w:hAnsi="宋体" w:cs="宋体" w:hint="eastAsia"/>
          <w:color w:val="2B2B2B"/>
          <w:kern w:val="0"/>
          <w:sz w:val="24"/>
          <w:szCs w:val="24"/>
        </w:rPr>
        <w:t>鉴证</w:t>
      </w:r>
      <w:proofErr w:type="gramEnd"/>
      <w:r w:rsidRPr="00441E86">
        <w:rPr>
          <w:rFonts w:ascii="宋体" w:eastAsia="宋体" w:hAnsi="宋体" w:cs="宋体" w:hint="eastAsia"/>
          <w:color w:val="2B2B2B"/>
          <w:kern w:val="0"/>
          <w:sz w:val="24"/>
          <w:szCs w:val="24"/>
        </w:rPr>
        <w:t>质量溯源、交易、流通和展示标准化应用合作。</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color w:val="2B2B2B"/>
          <w:kern w:val="0"/>
          <w:sz w:val="24"/>
          <w:szCs w:val="24"/>
        </w:rPr>
        <w:t>（七）强化健康服务领域标准化合作，增进民心相通。推动中医药国际标准制修订合作，加快药材、药产品、医疗器械、名词术语与信息学等方面国际标准研制工作，共同完善中医药国际标准体系。促进养老、积极辅助生活、家政标准化合作，组织国家级服务业标准化示范单位和有关机构在相关国家开展标准宣传培训应用，对有需求的沿线国家开展养老、家政人员标准化技能培训等。加强口岸公共卫生体系建设领域的合作，促进监管互认、执法互助。</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color w:val="2B2B2B"/>
          <w:kern w:val="0"/>
          <w:sz w:val="24"/>
          <w:szCs w:val="24"/>
        </w:rPr>
        <w:t>（八）开展金融领域标准化合作，服务构建稳定公平的国际金融体系。围绕银行产品服务描述规范、第三方支付等消费者关注的重点领域，深化与沿线国家金融标准化合作，共同制定金融国际标准。欢迎沿线国家当地银行机构加入人民币跨境支付系统（CIPS），积极推广CIPS业务标准。</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color w:val="2B2B2B"/>
          <w:kern w:val="0"/>
          <w:sz w:val="24"/>
          <w:szCs w:val="24"/>
        </w:rPr>
        <w:t>（九）加强海洋领域标准化合作，助力畅通21世纪海上丝绸之路。在海上装备、海洋观测、海洋产业等重点领域，积极倡导制定国际标准。开展海洋生态环境保护、海洋观测预报和防灾减灾等海洋国家标准外文版翻译，推动国家间海洋标准互认，提升沿线各国海洋标准体系兼容性。</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b/>
          <w:bCs/>
          <w:color w:val="2B2B2B"/>
          <w:kern w:val="0"/>
          <w:sz w:val="24"/>
          <w:szCs w:val="24"/>
        </w:rPr>
        <w:t>四、专项行动</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color w:val="2B2B2B"/>
          <w:kern w:val="0"/>
          <w:sz w:val="24"/>
          <w:szCs w:val="24"/>
        </w:rPr>
        <w:t>聚焦重点领域、重点国家、重要平台和重要基础，统筹全国标准化资源，充分发挥企业、行业和地方作用，集中开展一批“一带一路”建设标准化专项行动，力争在较短时间内，实现标准外文版发布、国际国内标准比对、海外标准化示范、区域标准联盟建设等方面突破，带动政策、规则、标准的整体联通。</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color w:val="2B2B2B"/>
          <w:kern w:val="0"/>
          <w:sz w:val="24"/>
          <w:szCs w:val="24"/>
        </w:rPr>
        <w:lastRenderedPageBreak/>
        <w:t>（一）国家</w:t>
      </w:r>
      <w:proofErr w:type="gramStart"/>
      <w:r w:rsidRPr="00441E86">
        <w:rPr>
          <w:rFonts w:ascii="宋体" w:eastAsia="宋体" w:hAnsi="宋体" w:cs="宋体" w:hint="eastAsia"/>
          <w:color w:val="2B2B2B"/>
          <w:kern w:val="0"/>
          <w:sz w:val="24"/>
          <w:szCs w:val="24"/>
        </w:rPr>
        <w:t>间标准</w:t>
      </w:r>
      <w:proofErr w:type="gramEnd"/>
      <w:r w:rsidRPr="00441E86">
        <w:rPr>
          <w:rFonts w:ascii="宋体" w:eastAsia="宋体" w:hAnsi="宋体" w:cs="宋体" w:hint="eastAsia"/>
          <w:color w:val="2B2B2B"/>
          <w:kern w:val="0"/>
          <w:sz w:val="24"/>
          <w:szCs w:val="24"/>
        </w:rPr>
        <w:t>互换互认行动。在双边贸易发展、科技进步和产业转型升级的重点领域，推动国家间标准化主管机构开展标准互换互认和标准比对工作，努力提高标准一致性程度。持续推进标准互换互认，进一步扩大标准交换范围，开展交换标准的翻译、比对和适用性分析验证工作，形成全面的互认标准目录。进一步推进与英国、法国等在铁路、农业食品、电子医疗、老年经济、城市可持续发展、智慧城市等领域的标准一致性提升合作，促进国家</w:t>
      </w:r>
      <w:proofErr w:type="gramStart"/>
      <w:r w:rsidRPr="00441E86">
        <w:rPr>
          <w:rFonts w:ascii="宋体" w:eastAsia="宋体" w:hAnsi="宋体" w:cs="宋体" w:hint="eastAsia"/>
          <w:color w:val="2B2B2B"/>
          <w:kern w:val="0"/>
          <w:sz w:val="24"/>
          <w:szCs w:val="24"/>
        </w:rPr>
        <w:t>间标准</w:t>
      </w:r>
      <w:proofErr w:type="gramEnd"/>
      <w:r w:rsidRPr="00441E86">
        <w:rPr>
          <w:rFonts w:ascii="宋体" w:eastAsia="宋体" w:hAnsi="宋体" w:cs="宋体" w:hint="eastAsia"/>
          <w:color w:val="2B2B2B"/>
          <w:kern w:val="0"/>
          <w:sz w:val="24"/>
          <w:szCs w:val="24"/>
        </w:rPr>
        <w:t>体系相互兼容。</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color w:val="2B2B2B"/>
          <w:kern w:val="0"/>
          <w:sz w:val="24"/>
          <w:szCs w:val="24"/>
        </w:rPr>
        <w:t>（二）中国标准国际影响提升行动。在电力、铁路、船舶、家电、冶金、中医药等领域，加速科技成果转化，加强技术标准研制，加快完善标准体系，提升标准先进性和系统性，建立重点标准走出</w:t>
      </w:r>
      <w:proofErr w:type="gramStart"/>
      <w:r w:rsidRPr="00441E86">
        <w:rPr>
          <w:rFonts w:ascii="宋体" w:eastAsia="宋体" w:hAnsi="宋体" w:cs="宋体" w:hint="eastAsia"/>
          <w:color w:val="2B2B2B"/>
          <w:kern w:val="0"/>
          <w:sz w:val="24"/>
          <w:szCs w:val="24"/>
        </w:rPr>
        <w:t>去项目</w:t>
      </w:r>
      <w:proofErr w:type="gramEnd"/>
      <w:r w:rsidRPr="00441E86">
        <w:rPr>
          <w:rFonts w:ascii="宋体" w:eastAsia="宋体" w:hAnsi="宋体" w:cs="宋体" w:hint="eastAsia"/>
          <w:color w:val="2B2B2B"/>
          <w:kern w:val="0"/>
          <w:sz w:val="24"/>
          <w:szCs w:val="24"/>
        </w:rPr>
        <w:t>库，推动建设标准化海外示范工程，加强境外产业园区、经贸园区标准化建设。大力开展城市</w:t>
      </w:r>
      <w:proofErr w:type="gramStart"/>
      <w:r w:rsidRPr="00441E86">
        <w:rPr>
          <w:rFonts w:ascii="宋体" w:eastAsia="宋体" w:hAnsi="宋体" w:cs="宋体" w:hint="eastAsia"/>
          <w:color w:val="2B2B2B"/>
          <w:kern w:val="0"/>
          <w:sz w:val="24"/>
          <w:szCs w:val="24"/>
        </w:rPr>
        <w:t>间标准</w:t>
      </w:r>
      <w:proofErr w:type="gramEnd"/>
      <w:r w:rsidRPr="00441E86">
        <w:rPr>
          <w:rFonts w:ascii="宋体" w:eastAsia="宋体" w:hAnsi="宋体" w:cs="宋体" w:hint="eastAsia"/>
          <w:color w:val="2B2B2B"/>
          <w:kern w:val="0"/>
          <w:sz w:val="24"/>
          <w:szCs w:val="24"/>
        </w:rPr>
        <w:t>化合作，在青岛、杭州、深圳、包头等推进标准国际化创新型城市建设，加强沿线国家间标准化实践的交流互鉴。</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color w:val="2B2B2B"/>
          <w:kern w:val="0"/>
          <w:sz w:val="24"/>
          <w:szCs w:val="24"/>
        </w:rPr>
        <w:t>（三）重点消费品对标行动。针对重点消费品，面向主要贸易国家和沿线重点国家，组织开展消费品标准与国际国外标准、技术法规的比对工作。到2020年，完成300个重点消费品标准约500项技术指标的比对工作。积极引进国际标准和国外先进标准，加快转化重要国际标准200余项，全面推进与主要贸易国家的标准互认工作，发布外文版的中国消费品标准。积极参与家用电器、玩具、制鞋、纺织品、家具、烟花爆竹等消费品国际标准制修订。</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color w:val="2B2B2B"/>
          <w:kern w:val="0"/>
          <w:sz w:val="24"/>
          <w:szCs w:val="24"/>
        </w:rPr>
        <w:t>（四）海外标准化示范推广行动。开展国际产能标准合作示范，围绕工程机械、农业机械等装备，建设标准海外应用示范项目。推进全球能源互联网标准化合作示范，开展蒙古、俄罗斯、巴基斯坦等跨国电网互联领域标准需求分析，推动制定双边或多边跨国电网互联的国际组织标准，并在跨国联网工程中应用。强化东盟农业标准化示范区建设，在粮食、茶叶、果蔬、棉花等大宗、特色农产品领域，示范推广种子种苗、植物品种保护、种植（养殖）管理、农产品质量分级、农产品流通、农业投入品、农机装备等标准。</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color w:val="2B2B2B"/>
          <w:kern w:val="0"/>
          <w:sz w:val="24"/>
          <w:szCs w:val="24"/>
        </w:rPr>
        <w:t>（五）中国标准外文版翻译行动。围绕“一带一路”建设重点领域，开展1000项中国标准外文版制定。在交通运输、石油天然气、电力、信息技术、金融、海洋、铁路等领域，重点开展国家标准外文版制定。加强行业标准外文</w:t>
      </w:r>
      <w:proofErr w:type="gramStart"/>
      <w:r w:rsidRPr="00441E86">
        <w:rPr>
          <w:rFonts w:ascii="宋体" w:eastAsia="宋体" w:hAnsi="宋体" w:cs="宋体" w:hint="eastAsia"/>
          <w:color w:val="2B2B2B"/>
          <w:kern w:val="0"/>
          <w:sz w:val="24"/>
          <w:szCs w:val="24"/>
        </w:rPr>
        <w:t>版制定</w:t>
      </w:r>
      <w:proofErr w:type="gramEnd"/>
      <w:r w:rsidRPr="00441E86">
        <w:rPr>
          <w:rFonts w:ascii="宋体" w:eastAsia="宋体" w:hAnsi="宋体" w:cs="宋体" w:hint="eastAsia"/>
          <w:color w:val="2B2B2B"/>
          <w:kern w:val="0"/>
          <w:sz w:val="24"/>
          <w:szCs w:val="24"/>
        </w:rPr>
        <w:t>工作，鼓励各有关部门制定有利于快速制定形成标准外文版的政策措施，依托</w:t>
      </w:r>
      <w:r w:rsidRPr="00441E86">
        <w:rPr>
          <w:rFonts w:ascii="宋体" w:eastAsia="宋体" w:hAnsi="宋体" w:cs="宋体" w:hint="eastAsia"/>
          <w:color w:val="2B2B2B"/>
          <w:kern w:val="0"/>
          <w:sz w:val="24"/>
          <w:szCs w:val="24"/>
        </w:rPr>
        <w:lastRenderedPageBreak/>
        <w:t>国家重大科技专项成果开发中国标准外文版翻译语料库。鼓励地方、团体和企业等根据实际工作需求积极参与标准外文版制定。鼓励外资企业申报和参与标准外文</w:t>
      </w:r>
      <w:proofErr w:type="gramStart"/>
      <w:r w:rsidRPr="00441E86">
        <w:rPr>
          <w:rFonts w:ascii="宋体" w:eastAsia="宋体" w:hAnsi="宋体" w:cs="宋体" w:hint="eastAsia"/>
          <w:color w:val="2B2B2B"/>
          <w:kern w:val="0"/>
          <w:sz w:val="24"/>
          <w:szCs w:val="24"/>
        </w:rPr>
        <w:t>版制定</w:t>
      </w:r>
      <w:proofErr w:type="gramEnd"/>
      <w:r w:rsidRPr="00441E86">
        <w:rPr>
          <w:rFonts w:ascii="宋体" w:eastAsia="宋体" w:hAnsi="宋体" w:cs="宋体" w:hint="eastAsia"/>
          <w:color w:val="2B2B2B"/>
          <w:kern w:val="0"/>
          <w:sz w:val="24"/>
          <w:szCs w:val="24"/>
        </w:rPr>
        <w:t>项目。</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color w:val="2B2B2B"/>
          <w:kern w:val="0"/>
          <w:sz w:val="24"/>
          <w:szCs w:val="24"/>
        </w:rPr>
        <w:t>（六）标准信息服务能力提升行动。积极推进与沿线国家开展标准信息交换，以标准信息交换带动标准互认。加强政府、智库、企业、社会组织和公众共同参与的多元标准信息服务。提供“一带一路”建设标准信息服务，聚焦国际运输、能源、水电、家电等重点领域，集成标准指标比对研究成果，为企业走出去提供专业的标准信息服务。加强区域标准研究中心信息服务，发布“一带一路”建设标准化信息。推动建设中国浙江义乌标准博物馆。与中国-东盟信息交流中心、联合国工业发展组织等合作推进“绿色智慧标准馆”建设，加强沿线国家标准信息资源共享。</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color w:val="2B2B2B"/>
          <w:kern w:val="0"/>
          <w:sz w:val="24"/>
          <w:szCs w:val="24"/>
        </w:rPr>
        <w:t>（七）企业标准国际化能力提升行动。推动搭建企业国际标准化创新示范基地，</w:t>
      </w:r>
      <w:proofErr w:type="gramStart"/>
      <w:r w:rsidRPr="00441E86">
        <w:rPr>
          <w:rFonts w:ascii="宋体" w:eastAsia="宋体" w:hAnsi="宋体" w:cs="宋体" w:hint="eastAsia"/>
          <w:color w:val="2B2B2B"/>
          <w:kern w:val="0"/>
          <w:sz w:val="24"/>
          <w:szCs w:val="24"/>
        </w:rPr>
        <w:t>畅通企业</w:t>
      </w:r>
      <w:proofErr w:type="gramEnd"/>
      <w:r w:rsidRPr="00441E86">
        <w:rPr>
          <w:rFonts w:ascii="宋体" w:eastAsia="宋体" w:hAnsi="宋体" w:cs="宋体" w:hint="eastAsia"/>
          <w:color w:val="2B2B2B"/>
          <w:kern w:val="0"/>
          <w:sz w:val="24"/>
          <w:szCs w:val="24"/>
        </w:rPr>
        <w:t>参与“一带一路”建设标准化工作的渠道。开展面向企业特别是中小企业的标准化人才的专题培训，提升企业标准化人才的专业水准和综合素质，提升企业参与国际标准化活动能力和水平。努力打造青岛、深圳国际标准化人才培训基地和杭州国际标准化会议基地等，为中国企业、科研机构标准化人员等提供固定的标准化培训和对接国际标准化技术机构机制。</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color w:val="2B2B2B"/>
          <w:kern w:val="0"/>
          <w:sz w:val="24"/>
          <w:szCs w:val="24"/>
        </w:rPr>
        <w:t>（八）标准国际化创新服务行动。发挥标准的平台性作用，配套服务国内外主题涉及推进“一带一路”建设的重要论坛或博览会，推进标准、质量与品牌的全面发展。打造国际标准化论坛（青岛），推动设立中国-东盟博览会国际标准专题论坛，形成与沿线国家的标准化专题固定交流合作平台。支持中国家用电器标准与技术产业联盟开展境外专业标准化创新服务。着眼打造一批共建“一带一路”海外标准化合作示范项目或示范工程，实现区域标准联盟建设突破，推动沿线各国加强标准化互联互通共识。</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color w:val="2B2B2B"/>
          <w:kern w:val="0"/>
          <w:sz w:val="24"/>
          <w:szCs w:val="24"/>
        </w:rPr>
        <w:t>（九）标准化助</w:t>
      </w:r>
      <w:proofErr w:type="gramStart"/>
      <w:r w:rsidRPr="00441E86">
        <w:rPr>
          <w:rFonts w:ascii="宋体" w:eastAsia="宋体" w:hAnsi="宋体" w:cs="宋体" w:hint="eastAsia"/>
          <w:color w:val="2B2B2B"/>
          <w:kern w:val="0"/>
          <w:sz w:val="24"/>
          <w:szCs w:val="24"/>
        </w:rPr>
        <w:t>推国际减贫扶贫</w:t>
      </w:r>
      <w:proofErr w:type="gramEnd"/>
      <w:r w:rsidRPr="00441E86">
        <w:rPr>
          <w:rFonts w:ascii="宋体" w:eastAsia="宋体" w:hAnsi="宋体" w:cs="宋体" w:hint="eastAsia"/>
          <w:color w:val="2B2B2B"/>
          <w:kern w:val="0"/>
          <w:sz w:val="24"/>
          <w:szCs w:val="24"/>
        </w:rPr>
        <w:t>共享行动。借鉴中国精准扶贫、精准脱贫标准化成功案例和模式，开展精准扶贫标准化培训交流和综合示范项目，为“一带一路”沿线发展中国家培养精准扶贫标准化人才，帮扶建立国际植物新品种保护联盟框架下的植物新品种保护制度，推广和交流中国经验。在制定村级光</w:t>
      </w:r>
      <w:proofErr w:type="gramStart"/>
      <w:r w:rsidRPr="00441E86">
        <w:rPr>
          <w:rFonts w:ascii="宋体" w:eastAsia="宋体" w:hAnsi="宋体" w:cs="宋体" w:hint="eastAsia"/>
          <w:color w:val="2B2B2B"/>
          <w:kern w:val="0"/>
          <w:sz w:val="24"/>
          <w:szCs w:val="24"/>
        </w:rPr>
        <w:t>伏扶贫</w:t>
      </w:r>
      <w:proofErr w:type="gramEnd"/>
      <w:r w:rsidRPr="00441E86">
        <w:rPr>
          <w:rFonts w:ascii="宋体" w:eastAsia="宋体" w:hAnsi="宋体" w:cs="宋体" w:hint="eastAsia"/>
          <w:color w:val="2B2B2B"/>
          <w:kern w:val="0"/>
          <w:sz w:val="24"/>
          <w:szCs w:val="24"/>
        </w:rPr>
        <w:t>等产业扶贫国家标准的基础上，推动村级光</w:t>
      </w:r>
      <w:proofErr w:type="gramStart"/>
      <w:r w:rsidRPr="00441E86">
        <w:rPr>
          <w:rFonts w:ascii="宋体" w:eastAsia="宋体" w:hAnsi="宋体" w:cs="宋体" w:hint="eastAsia"/>
          <w:color w:val="2B2B2B"/>
          <w:kern w:val="0"/>
          <w:sz w:val="24"/>
          <w:szCs w:val="24"/>
        </w:rPr>
        <w:t>伏扶贫</w:t>
      </w:r>
      <w:proofErr w:type="gramEnd"/>
      <w:r w:rsidRPr="00441E86">
        <w:rPr>
          <w:rFonts w:ascii="宋体" w:eastAsia="宋体" w:hAnsi="宋体" w:cs="宋体" w:hint="eastAsia"/>
          <w:color w:val="2B2B2B"/>
          <w:kern w:val="0"/>
          <w:sz w:val="24"/>
          <w:szCs w:val="24"/>
        </w:rPr>
        <w:t>等产业扶贫的国际标准制定。</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b/>
          <w:bCs/>
          <w:color w:val="2B2B2B"/>
          <w:kern w:val="0"/>
          <w:sz w:val="24"/>
          <w:szCs w:val="24"/>
        </w:rPr>
        <w:lastRenderedPageBreak/>
        <w:t>五、保障措施</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color w:val="2B2B2B"/>
          <w:kern w:val="0"/>
          <w:sz w:val="24"/>
          <w:szCs w:val="24"/>
        </w:rPr>
        <w:t>（一）政策法规保障。推动将标准联通共建“一带一路”行动计划要素纳入与沿线国家多双边合作机制。加快推进标准化法以及相关配套法规规章的制修订，为标准联通共建“一带一路”工作提供法制保障。</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color w:val="2B2B2B"/>
          <w:kern w:val="0"/>
          <w:sz w:val="24"/>
          <w:szCs w:val="24"/>
        </w:rPr>
        <w:t>（二）机制经费保障。发挥推进“一带一路”建设工作领导小组办公室协调机制，加强政府部门之间、中央和地方之间、政府与企业之间的沟通交流与良性互动。在充分利用现有资金渠道，盘活存量资金的基础上，加大对初见成效的标准化项目的资金投入，探索建立市场化、多元化的经费投入机制，做好有关项目的经费保障工作。</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color w:val="2B2B2B"/>
          <w:kern w:val="0"/>
          <w:sz w:val="24"/>
          <w:szCs w:val="24"/>
        </w:rPr>
        <w:t>（三）评估落实。按照职责分工，各部门要进一步梳理落实重点任务和优先推进项目，制定实施计划和时间表。加强对行动计划的督促检查，及时解决存在的问题。加强对行动计划实施情况的跟踪评估，及时提出调整计划、完善政策的意见和建议。</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hint="eastAsia"/>
          <w:color w:val="2B2B2B"/>
          <w:kern w:val="0"/>
          <w:sz w:val="24"/>
          <w:szCs w:val="24"/>
        </w:rPr>
        <w:t>（四）宣传引导。通过多双边交流活动等形式，加大对相关工作政策和信息的宣传力度，发挥政府部门在信息引导、政策扶持、沟通协调等方面的作用，调动相关协会、学会、商会、产业联盟的积极性，开展全方位、多层次宣传和推介工作，营造社会各界积极参与标准联通“一带一路”建设的良好氛围。</w: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r w:rsidRPr="00441E86">
        <w:rPr>
          <w:rFonts w:ascii="宋体" w:eastAsia="宋体" w:hAnsi="宋体" w:cs="宋体"/>
          <w:color w:val="2B2B2B"/>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441E86" w:rsidRPr="00441E86" w:rsidRDefault="00441E86" w:rsidP="00441E86">
      <w:pPr>
        <w:widowControl/>
        <w:spacing w:before="225" w:line="450" w:lineRule="atLeast"/>
        <w:ind w:firstLine="480"/>
        <w:jc w:val="left"/>
        <w:rPr>
          <w:rFonts w:ascii="宋体" w:eastAsia="宋体" w:hAnsi="宋体" w:cs="宋体" w:hint="eastAsia"/>
          <w:color w:val="2B2B2B"/>
          <w:kern w:val="0"/>
          <w:sz w:val="24"/>
          <w:szCs w:val="24"/>
        </w:rPr>
      </w:pPr>
      <w:hyperlink r:id="rId4" w:tgtFrame="_blank" w:history="1">
        <w:r w:rsidRPr="00441E86">
          <w:rPr>
            <w:rFonts w:ascii="宋体" w:eastAsia="宋体" w:hAnsi="宋体" w:cs="宋体" w:hint="eastAsia"/>
            <w:b/>
            <w:bCs/>
            <w:color w:val="003399"/>
            <w:kern w:val="0"/>
            <w:sz w:val="24"/>
            <w:szCs w:val="24"/>
          </w:rPr>
          <w:t>《标准联通“一带一路”行动计划（2015-2017）》</w:t>
        </w:r>
      </w:hyperlink>
    </w:p>
    <w:p w:rsidR="00764F64" w:rsidRPr="00441E86" w:rsidRDefault="00764F64" w:rsidP="00441E86"/>
    <w:sectPr w:rsidR="00764F64" w:rsidRPr="00441E86" w:rsidSect="00764F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31B1"/>
    <w:rsid w:val="00441E86"/>
    <w:rsid w:val="004F3B9D"/>
    <w:rsid w:val="00506E33"/>
    <w:rsid w:val="00764F64"/>
    <w:rsid w:val="00ED171A"/>
    <w:rsid w:val="00FB31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F64"/>
    <w:pPr>
      <w:widowControl w:val="0"/>
      <w:jc w:val="both"/>
    </w:pPr>
  </w:style>
  <w:style w:type="paragraph" w:styleId="1">
    <w:name w:val="heading 1"/>
    <w:basedOn w:val="a"/>
    <w:link w:val="1Char"/>
    <w:uiPriority w:val="9"/>
    <w:qFormat/>
    <w:rsid w:val="00FB31B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B31B1"/>
    <w:rPr>
      <w:rFonts w:ascii="宋体" w:eastAsia="宋体" w:hAnsi="宋体" w:cs="宋体"/>
      <w:b/>
      <w:bCs/>
      <w:kern w:val="36"/>
      <w:sz w:val="48"/>
      <w:szCs w:val="48"/>
    </w:rPr>
  </w:style>
  <w:style w:type="character" w:customStyle="1" w:styleId="maincontentdate">
    <w:name w:val="main_content_date"/>
    <w:basedOn w:val="a0"/>
    <w:rsid w:val="00FB31B1"/>
  </w:style>
  <w:style w:type="paragraph" w:styleId="a3">
    <w:name w:val="Normal (Web)"/>
    <w:basedOn w:val="a"/>
    <w:uiPriority w:val="99"/>
    <w:unhideWhenUsed/>
    <w:rsid w:val="00FB31B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06E33"/>
    <w:rPr>
      <w:b/>
      <w:bCs/>
    </w:rPr>
  </w:style>
  <w:style w:type="character" w:styleId="a5">
    <w:name w:val="Hyperlink"/>
    <w:basedOn w:val="a0"/>
    <w:uiPriority w:val="99"/>
    <w:semiHidden/>
    <w:unhideWhenUsed/>
    <w:rsid w:val="004F3B9D"/>
    <w:rPr>
      <w:color w:val="0000FF"/>
      <w:u w:val="single"/>
    </w:rPr>
  </w:style>
</w:styles>
</file>

<file path=word/webSettings.xml><?xml version="1.0" encoding="utf-8"?>
<w:webSettings xmlns:r="http://schemas.openxmlformats.org/officeDocument/2006/relationships" xmlns:w="http://schemas.openxmlformats.org/wordprocessingml/2006/main">
  <w:divs>
    <w:div w:id="184026782">
      <w:bodyDiv w:val="1"/>
      <w:marLeft w:val="0"/>
      <w:marRight w:val="0"/>
      <w:marTop w:val="0"/>
      <w:marBottom w:val="0"/>
      <w:divBdr>
        <w:top w:val="none" w:sz="0" w:space="0" w:color="auto"/>
        <w:left w:val="none" w:sz="0" w:space="0" w:color="auto"/>
        <w:bottom w:val="none" w:sz="0" w:space="0" w:color="auto"/>
        <w:right w:val="none" w:sz="0" w:space="0" w:color="auto"/>
      </w:divBdr>
      <w:divsChild>
        <w:div w:id="387345465">
          <w:marLeft w:val="0"/>
          <w:marRight w:val="0"/>
          <w:marTop w:val="0"/>
          <w:marBottom w:val="0"/>
          <w:divBdr>
            <w:top w:val="none" w:sz="0" w:space="0" w:color="auto"/>
            <w:left w:val="none" w:sz="0" w:space="0" w:color="auto"/>
            <w:bottom w:val="none" w:sz="0" w:space="0" w:color="auto"/>
            <w:right w:val="none" w:sz="0" w:space="0" w:color="auto"/>
          </w:divBdr>
          <w:divsChild>
            <w:div w:id="1795906784">
              <w:marLeft w:val="0"/>
              <w:marRight w:val="2970"/>
              <w:marTop w:val="0"/>
              <w:marBottom w:val="0"/>
              <w:divBdr>
                <w:top w:val="none" w:sz="0" w:space="0" w:color="auto"/>
                <w:left w:val="none" w:sz="0" w:space="0" w:color="auto"/>
                <w:bottom w:val="none" w:sz="0" w:space="0" w:color="auto"/>
                <w:right w:val="none" w:sz="0" w:space="0" w:color="auto"/>
              </w:divBdr>
            </w:div>
          </w:divsChild>
        </w:div>
        <w:div w:id="1049963697">
          <w:marLeft w:val="0"/>
          <w:marRight w:val="0"/>
          <w:marTop w:val="0"/>
          <w:marBottom w:val="150"/>
          <w:divBdr>
            <w:top w:val="none" w:sz="0" w:space="0" w:color="auto"/>
            <w:left w:val="none" w:sz="0" w:space="0" w:color="auto"/>
            <w:bottom w:val="none" w:sz="0" w:space="0" w:color="auto"/>
            <w:right w:val="none" w:sz="0" w:space="0" w:color="auto"/>
          </w:divBdr>
          <w:divsChild>
            <w:div w:id="1789080114">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365260311">
      <w:bodyDiv w:val="1"/>
      <w:marLeft w:val="0"/>
      <w:marRight w:val="0"/>
      <w:marTop w:val="0"/>
      <w:marBottom w:val="0"/>
      <w:divBdr>
        <w:top w:val="none" w:sz="0" w:space="0" w:color="auto"/>
        <w:left w:val="none" w:sz="0" w:space="0" w:color="auto"/>
        <w:bottom w:val="none" w:sz="0" w:space="0" w:color="auto"/>
        <w:right w:val="none" w:sz="0" w:space="0" w:color="auto"/>
      </w:divBdr>
      <w:divsChild>
        <w:div w:id="1175609936">
          <w:marLeft w:val="0"/>
          <w:marRight w:val="0"/>
          <w:marTop w:val="0"/>
          <w:marBottom w:val="0"/>
          <w:divBdr>
            <w:top w:val="none" w:sz="0" w:space="0" w:color="auto"/>
            <w:left w:val="none" w:sz="0" w:space="0" w:color="auto"/>
            <w:bottom w:val="none" w:sz="0" w:space="0" w:color="auto"/>
            <w:right w:val="none" w:sz="0" w:space="0" w:color="auto"/>
          </w:divBdr>
          <w:divsChild>
            <w:div w:id="905148413">
              <w:marLeft w:val="0"/>
              <w:marRight w:val="2970"/>
              <w:marTop w:val="0"/>
              <w:marBottom w:val="0"/>
              <w:divBdr>
                <w:top w:val="none" w:sz="0" w:space="0" w:color="auto"/>
                <w:left w:val="none" w:sz="0" w:space="0" w:color="auto"/>
                <w:bottom w:val="none" w:sz="0" w:space="0" w:color="auto"/>
                <w:right w:val="none" w:sz="0" w:space="0" w:color="auto"/>
              </w:divBdr>
            </w:div>
          </w:divsChild>
        </w:div>
        <w:div w:id="890650449">
          <w:marLeft w:val="0"/>
          <w:marRight w:val="0"/>
          <w:marTop w:val="0"/>
          <w:marBottom w:val="150"/>
          <w:divBdr>
            <w:top w:val="none" w:sz="0" w:space="0" w:color="auto"/>
            <w:left w:val="none" w:sz="0" w:space="0" w:color="auto"/>
            <w:bottom w:val="none" w:sz="0" w:space="0" w:color="auto"/>
            <w:right w:val="none" w:sz="0" w:space="0" w:color="auto"/>
          </w:divBdr>
          <w:divsChild>
            <w:div w:id="1026716915">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327518038">
      <w:bodyDiv w:val="1"/>
      <w:marLeft w:val="0"/>
      <w:marRight w:val="0"/>
      <w:marTop w:val="0"/>
      <w:marBottom w:val="0"/>
      <w:divBdr>
        <w:top w:val="none" w:sz="0" w:space="0" w:color="auto"/>
        <w:left w:val="none" w:sz="0" w:space="0" w:color="auto"/>
        <w:bottom w:val="none" w:sz="0" w:space="0" w:color="auto"/>
        <w:right w:val="none" w:sz="0" w:space="0" w:color="auto"/>
      </w:divBdr>
      <w:divsChild>
        <w:div w:id="915239792">
          <w:marLeft w:val="0"/>
          <w:marRight w:val="0"/>
          <w:marTop w:val="0"/>
          <w:marBottom w:val="0"/>
          <w:divBdr>
            <w:top w:val="none" w:sz="0" w:space="0" w:color="auto"/>
            <w:left w:val="none" w:sz="0" w:space="0" w:color="auto"/>
            <w:bottom w:val="none" w:sz="0" w:space="0" w:color="auto"/>
            <w:right w:val="none" w:sz="0" w:space="0" w:color="auto"/>
          </w:divBdr>
          <w:divsChild>
            <w:div w:id="1119495602">
              <w:marLeft w:val="0"/>
              <w:marRight w:val="2970"/>
              <w:marTop w:val="0"/>
              <w:marBottom w:val="0"/>
              <w:divBdr>
                <w:top w:val="none" w:sz="0" w:space="0" w:color="auto"/>
                <w:left w:val="none" w:sz="0" w:space="0" w:color="auto"/>
                <w:bottom w:val="none" w:sz="0" w:space="0" w:color="auto"/>
                <w:right w:val="none" w:sz="0" w:space="0" w:color="auto"/>
              </w:divBdr>
            </w:div>
          </w:divsChild>
        </w:div>
        <w:div w:id="934287681">
          <w:marLeft w:val="0"/>
          <w:marRight w:val="0"/>
          <w:marTop w:val="0"/>
          <w:marBottom w:val="150"/>
          <w:divBdr>
            <w:top w:val="none" w:sz="0" w:space="0" w:color="auto"/>
            <w:left w:val="none" w:sz="0" w:space="0" w:color="auto"/>
            <w:bottom w:val="none" w:sz="0" w:space="0" w:color="auto"/>
            <w:right w:val="none" w:sz="0" w:space="0" w:color="auto"/>
          </w:divBdr>
          <w:divsChild>
            <w:div w:id="995038644">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750536525">
      <w:bodyDiv w:val="1"/>
      <w:marLeft w:val="0"/>
      <w:marRight w:val="0"/>
      <w:marTop w:val="0"/>
      <w:marBottom w:val="0"/>
      <w:divBdr>
        <w:top w:val="none" w:sz="0" w:space="0" w:color="auto"/>
        <w:left w:val="none" w:sz="0" w:space="0" w:color="auto"/>
        <w:bottom w:val="none" w:sz="0" w:space="0" w:color="auto"/>
        <w:right w:val="none" w:sz="0" w:space="0" w:color="auto"/>
      </w:divBdr>
      <w:divsChild>
        <w:div w:id="531571167">
          <w:marLeft w:val="0"/>
          <w:marRight w:val="0"/>
          <w:marTop w:val="0"/>
          <w:marBottom w:val="0"/>
          <w:divBdr>
            <w:top w:val="none" w:sz="0" w:space="0" w:color="auto"/>
            <w:left w:val="none" w:sz="0" w:space="0" w:color="auto"/>
            <w:bottom w:val="none" w:sz="0" w:space="0" w:color="auto"/>
            <w:right w:val="none" w:sz="0" w:space="0" w:color="auto"/>
          </w:divBdr>
          <w:divsChild>
            <w:div w:id="1627004237">
              <w:marLeft w:val="0"/>
              <w:marRight w:val="2970"/>
              <w:marTop w:val="0"/>
              <w:marBottom w:val="0"/>
              <w:divBdr>
                <w:top w:val="none" w:sz="0" w:space="0" w:color="auto"/>
                <w:left w:val="none" w:sz="0" w:space="0" w:color="auto"/>
                <w:bottom w:val="none" w:sz="0" w:space="0" w:color="auto"/>
                <w:right w:val="none" w:sz="0" w:space="0" w:color="auto"/>
              </w:divBdr>
            </w:div>
          </w:divsChild>
        </w:div>
        <w:div w:id="562566325">
          <w:marLeft w:val="0"/>
          <w:marRight w:val="0"/>
          <w:marTop w:val="0"/>
          <w:marBottom w:val="150"/>
          <w:divBdr>
            <w:top w:val="none" w:sz="0" w:space="0" w:color="auto"/>
            <w:left w:val="none" w:sz="0" w:space="0" w:color="auto"/>
            <w:bottom w:val="none" w:sz="0" w:space="0" w:color="auto"/>
            <w:right w:val="none" w:sz="0" w:space="0" w:color="auto"/>
          </w:divBdr>
          <w:divsChild>
            <w:div w:id="71126045">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idaiyilu.gov.cn/wcm.files/upload/CMSydylgw/201702/201702150616033.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889</Words>
  <Characters>5072</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2019-09-27T09:45:00Z</dcterms:created>
  <dcterms:modified xsi:type="dcterms:W3CDTF">2019-09-27T09:45:00Z</dcterms:modified>
</cp:coreProperties>
</file>