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B93" w:rsidRDefault="008659C3">
      <w:r>
        <w:rPr>
          <w:noProof/>
        </w:rPr>
        <w:drawing>
          <wp:anchor distT="0" distB="0" distL="114300" distR="114300" simplePos="0" relativeHeight="251656192" behindDoc="0" locked="0" layoutInCell="1" allowOverlap="1">
            <wp:simplePos x="0" y="0"/>
            <wp:positionH relativeFrom="column">
              <wp:posOffset>-2130425</wp:posOffset>
            </wp:positionH>
            <wp:positionV relativeFrom="paragraph">
              <wp:posOffset>-920750</wp:posOffset>
            </wp:positionV>
            <wp:extent cx="2233930" cy="1342390"/>
            <wp:effectExtent l="0" t="0" r="0" b="0"/>
            <wp:wrapNone/>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3"/>
                    <pic:cNvPicPr>
                      <a:picLocks noChangeAspect="1" noChangeArrowheads="1"/>
                    </pic:cNvPicPr>
                  </pic:nvPicPr>
                  <pic:blipFill>
                    <a:blip r:embed="rId8"/>
                    <a:srcRect/>
                    <a:stretch>
                      <a:fillRect/>
                    </a:stretch>
                  </pic:blipFill>
                  <pic:spPr>
                    <a:xfrm>
                      <a:off x="0" y="0"/>
                      <a:ext cx="2233930" cy="1342390"/>
                    </a:xfrm>
                    <a:prstGeom prst="rect">
                      <a:avLst/>
                    </a:prstGeom>
                    <a:noFill/>
                    <a:ln w="9525">
                      <a:noFill/>
                      <a:miter lim="800000"/>
                      <a:headEnd/>
                      <a:tailEnd/>
                    </a:ln>
                  </pic:spPr>
                </pic:pic>
              </a:graphicData>
            </a:graphic>
          </wp:anchor>
        </w:drawing>
      </w:r>
      <w:r w:rsidR="00F00806">
        <w:pict>
          <v:shapetype id="_x0000_t202" coordsize="21600,21600" o:spt="202" path="m,l,21600r21600,l21600,xe">
            <v:stroke joinstyle="miter"/>
            <v:path gradientshapeok="t" o:connecttype="rect"/>
          </v:shapetype>
          <v:shape id="_x0000_s1026" type="#_x0000_t202" style="position:absolute;left:0;text-align:left;margin-left:72.95pt;margin-top:-48.2pt;width:268.5pt;height:52pt;z-index:251658240;mso-position-horizontal-relative:text;mso-position-vertical-relative:text" o:gfxdata="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A1j6YPWAAAACQEAAA8AAAAAAAAAAQAgAAAAIgAAAGRycy9kb3ducmV2LnhtbFBLAQIUABQAAAAI&#10;AIdO4kARHecqKAIAADcEAAAOAAAAAAAAAAEAIAAAACUBAABkcnMvZTJvRG9jLnhtbFBLBQYAAAAA&#10;BgAGAFkBAAC/BQAAAAA=&#10;" filled="f" stroked="f">
            <v:textbox>
              <w:txbxContent>
                <w:p w:rsidR="00A42717" w:rsidRDefault="00A42717">
                  <w:pPr>
                    <w:jc w:val="right"/>
                    <w:rPr>
                      <w:rFonts w:ascii="黑体" w:eastAsia="黑体" w:hAnsi="黑体"/>
                      <w:color w:val="4472C4"/>
                      <w:sz w:val="56"/>
                      <w:szCs w:val="56"/>
                    </w:rPr>
                  </w:pPr>
                  <w:r>
                    <w:rPr>
                      <w:rFonts w:ascii="黑体" w:eastAsia="黑体" w:hAnsi="黑体" w:hint="eastAsia"/>
                      <w:color w:val="4472C4"/>
                      <w:sz w:val="56"/>
                      <w:szCs w:val="56"/>
                    </w:rPr>
                    <w:t>新华社银行行长专刊</w:t>
                  </w:r>
                </w:p>
              </w:txbxContent>
            </v:textbox>
          </v:shape>
        </w:pict>
      </w:r>
      <w:r w:rsidR="00F00806" w:rsidRPr="00F00806">
        <w:rPr>
          <w:sz w:val="23"/>
        </w:rPr>
        <w:pict>
          <v:shape id="_x0000_s1028" type="#_x0000_t202" style="position:absolute;left:0;text-align:left;margin-left:15.45pt;margin-top:3.8pt;width:139pt;height:22.8pt;z-index:251659264;mso-height-percent:200;mso-wrap-distance-top:3.6pt;mso-wrap-distance-bottom:3.6pt;mso-position-horizontal-relative:margin;mso-position-vertical-relative:text;mso-height-percent:200;mso-height-relative:margin" o:gfxdata="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AK5VhA1QAAAAcBAAAPAAAAAAAAAAEAIAAAACIAAABkcnMv&#10;ZG93bnJldi54bWxQSwECFAAUAAAACACHTuJAGKLWuD8CAABhBAAADgAAAAAAAAABACAAAAAkAQAA&#10;ZHJzL2Uyb0RvYy54bWxQSwUGAAAAAAYABgBZAQAA1QUAAAAA&#10;" stroked="f">
            <v:textbox style="mso-fit-shape-to-text:t">
              <w:txbxContent>
                <w:p w:rsidR="00A42717" w:rsidRDefault="00A42717">
                  <w:pPr>
                    <w:jc w:val="left"/>
                    <w:rPr>
                      <w:rFonts w:ascii="仿宋" w:eastAsia="仿宋" w:hAnsi="仿宋"/>
                      <w:color w:val="1F4E79"/>
                      <w:sz w:val="22"/>
                      <w:szCs w:val="24"/>
                    </w:rPr>
                  </w:pPr>
                  <w:r>
                    <w:rPr>
                      <w:rFonts w:ascii="仿宋" w:eastAsia="仿宋" w:hAnsi="仿宋" w:hint="eastAsia"/>
                      <w:color w:val="1F4E79"/>
                      <w:sz w:val="22"/>
                      <w:szCs w:val="24"/>
                    </w:rPr>
                    <w:t>新华社中国经济信息社</w:t>
                  </w:r>
                </w:p>
              </w:txbxContent>
            </v:textbox>
            <w10:wrap type="square" anchorx="margin"/>
          </v:shape>
        </w:pict>
      </w:r>
      <w:r w:rsidR="00F00806" w:rsidRPr="00F00806">
        <w:rPr>
          <w:sz w:val="23"/>
        </w:rPr>
        <w:pict>
          <v:shape id="文本框 2" o:spid="_x0000_s1027" type="#_x0000_t202" style="position:absolute;left:0;text-align:left;margin-left:2808.4pt;margin-top:4.3pt;width:281.5pt;height:22.8pt;z-index:251657216;mso-height-percent:200;mso-wrap-distance-top:3.6pt;mso-wrap-distance-bottom:3.6pt;mso-position-horizontal:right;mso-position-horizontal-relative:margin;mso-position-vertical-relative:text;mso-height-percent:200;mso-height-relative:margin" o:gfxdata="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AP3bTM1AAAAAUBAAAPAAAAAAAAAAEAIAAAACIAAABkcnMv&#10;ZG93bnJldi54bWxQSwECFAAUAAAACACHTuJAB8CZTUACAABhBAAADgAAAAAAAAABACAAAAAjAQAA&#10;ZHJzL2Uyb0RvYy54bWxQSwUGAAAAAAYABgBZAQAA1QUAAAAA&#10;" stroked="f">
            <v:textbox style="mso-fit-shape-to-text:t">
              <w:txbxContent>
                <w:p w:rsidR="00A42717" w:rsidRDefault="00A42717" w:rsidP="004E373F">
                  <w:pPr>
                    <w:ind w:firstLineChars="1400" w:firstLine="2940"/>
                    <w:rPr>
                      <w:color w:val="1F4E79"/>
                    </w:rPr>
                  </w:pPr>
                  <w:r>
                    <w:rPr>
                      <w:color w:val="1F4E79"/>
                    </w:rPr>
                    <w:t>202</w:t>
                  </w:r>
                  <w:r>
                    <w:rPr>
                      <w:rFonts w:hint="eastAsia"/>
                      <w:color w:val="1F4E79"/>
                    </w:rPr>
                    <w:t>1</w:t>
                  </w:r>
                  <w:r>
                    <w:rPr>
                      <w:color w:val="1F4E79"/>
                    </w:rPr>
                    <w:t xml:space="preserve"> 年 </w:t>
                  </w:r>
                  <w:r>
                    <w:rPr>
                      <w:rFonts w:hint="eastAsia"/>
                      <w:color w:val="1F4E79"/>
                    </w:rPr>
                    <w:t>1</w:t>
                  </w:r>
                  <w:r>
                    <w:rPr>
                      <w:color w:val="1F4E79"/>
                    </w:rPr>
                    <w:t>月25日</w:t>
                  </w:r>
                  <w:r>
                    <w:rPr>
                      <w:rFonts w:hint="eastAsia"/>
                      <w:color w:val="1F4E79"/>
                    </w:rPr>
                    <w:t>第</w:t>
                  </w:r>
                  <w:r>
                    <w:rPr>
                      <w:b/>
                      <w:color w:val="1F4E79"/>
                    </w:rPr>
                    <w:t>4</w:t>
                  </w:r>
                  <w:r>
                    <w:rPr>
                      <w:rFonts w:hint="eastAsia"/>
                      <w:color w:val="1F4E79"/>
                    </w:rPr>
                    <w:t>期</w:t>
                  </w:r>
                </w:p>
              </w:txbxContent>
            </v:textbox>
            <w10:wrap type="square" anchorx="margin"/>
          </v:shape>
        </w:pict>
      </w:r>
    </w:p>
    <w:tbl>
      <w:tblPr>
        <w:tblW w:w="9962" w:type="dxa"/>
        <w:tblInd w:w="142" w:type="dxa"/>
        <w:tblLayout w:type="fixed"/>
        <w:tblCellMar>
          <w:left w:w="0" w:type="dxa"/>
          <w:right w:w="0" w:type="dxa"/>
        </w:tblCellMar>
        <w:tblLook w:val="04A0"/>
      </w:tblPr>
      <w:tblGrid>
        <w:gridCol w:w="3926"/>
        <w:gridCol w:w="6036"/>
      </w:tblGrid>
      <w:tr w:rsidR="00425B93">
        <w:trPr>
          <w:trHeight w:val="82"/>
        </w:trPr>
        <w:tc>
          <w:tcPr>
            <w:tcW w:w="3926" w:type="dxa"/>
            <w:tcBorders>
              <w:top w:val="single" w:sz="24" w:space="0" w:color="1F497C"/>
            </w:tcBorders>
            <w:shd w:val="clear" w:color="auto" w:fill="D8D8D8"/>
          </w:tcPr>
          <w:p w:rsidR="00425B93" w:rsidRDefault="00425B93">
            <w:pPr>
              <w:pStyle w:val="TableParagraph"/>
              <w:rPr>
                <w:sz w:val="24"/>
                <w:lang w:eastAsia="zh-CN"/>
              </w:rPr>
            </w:pPr>
          </w:p>
          <w:p w:rsidR="00425B93" w:rsidRDefault="00425B93">
            <w:pPr>
              <w:pStyle w:val="TableParagraph"/>
              <w:rPr>
                <w:sz w:val="24"/>
                <w:lang w:eastAsia="zh-CN"/>
              </w:rPr>
            </w:pPr>
          </w:p>
          <w:p w:rsidR="00425B93" w:rsidRDefault="00425B93">
            <w:pPr>
              <w:pStyle w:val="TableParagraph"/>
              <w:spacing w:line="440" w:lineRule="exact"/>
              <w:ind w:leftChars="44" w:left="92"/>
              <w:rPr>
                <w:rFonts w:ascii="仿宋" w:eastAsia="仿宋" w:hAnsi="仿宋"/>
                <w:sz w:val="24"/>
                <w:lang w:eastAsia="zh-CN"/>
              </w:rPr>
            </w:pPr>
          </w:p>
          <w:p w:rsidR="00425B93" w:rsidRDefault="00425B93">
            <w:pPr>
              <w:pStyle w:val="TableParagraph"/>
              <w:spacing w:line="440" w:lineRule="exact"/>
              <w:ind w:leftChars="44" w:left="92"/>
              <w:rPr>
                <w:rFonts w:ascii="仿宋" w:eastAsia="仿宋" w:hAnsi="仿宋"/>
                <w:sz w:val="24"/>
                <w:lang w:eastAsia="zh-CN"/>
              </w:rPr>
            </w:pPr>
          </w:p>
          <w:p w:rsidR="00425B93" w:rsidRDefault="00425B93">
            <w:pPr>
              <w:pStyle w:val="TableParagraph"/>
              <w:ind w:left="0"/>
              <w:rPr>
                <w:rFonts w:ascii="仿宋" w:eastAsia="仿宋" w:hAnsi="仿宋"/>
                <w:sz w:val="24"/>
                <w:lang w:eastAsia="zh-CN"/>
              </w:rPr>
            </w:pPr>
          </w:p>
          <w:p w:rsidR="00425B93" w:rsidRDefault="00425B93">
            <w:pPr>
              <w:pStyle w:val="TableParagraph"/>
              <w:ind w:left="0"/>
              <w:rPr>
                <w:rFonts w:ascii="仿宋" w:eastAsia="仿宋" w:hAnsi="仿宋"/>
                <w:sz w:val="24"/>
                <w:lang w:eastAsia="zh-CN"/>
              </w:rPr>
            </w:pPr>
          </w:p>
          <w:p w:rsidR="00425B93" w:rsidRDefault="00425B93">
            <w:pPr>
              <w:pStyle w:val="TableParagraph"/>
              <w:ind w:left="0"/>
              <w:rPr>
                <w:rFonts w:ascii="仿宋" w:eastAsia="仿宋" w:hAnsi="仿宋"/>
                <w:sz w:val="24"/>
                <w:lang w:eastAsia="zh-CN"/>
              </w:rPr>
            </w:pPr>
          </w:p>
          <w:p w:rsidR="00425B93" w:rsidRDefault="00425B93">
            <w:pPr>
              <w:pStyle w:val="TableParagraph"/>
              <w:ind w:left="0"/>
              <w:rPr>
                <w:szCs w:val="21"/>
                <w:lang w:eastAsia="zh-CN"/>
              </w:rPr>
            </w:pPr>
          </w:p>
          <w:p w:rsidR="00425B93" w:rsidRDefault="00425B93">
            <w:pPr>
              <w:pStyle w:val="TableParagraph"/>
              <w:ind w:left="0"/>
              <w:rPr>
                <w:szCs w:val="21"/>
                <w:lang w:eastAsia="zh-CN"/>
              </w:rPr>
            </w:pPr>
          </w:p>
          <w:p w:rsidR="00425B93" w:rsidRDefault="008659C3">
            <w:pPr>
              <w:pStyle w:val="TableParagraph"/>
              <w:spacing w:line="360" w:lineRule="auto"/>
              <w:ind w:leftChars="251" w:left="527"/>
              <w:rPr>
                <w:b/>
                <w:bCs/>
                <w:color w:val="1F4E79"/>
                <w:sz w:val="28"/>
                <w:szCs w:val="24"/>
                <w:lang w:eastAsia="zh-CN"/>
              </w:rPr>
            </w:pPr>
            <w:r>
              <w:rPr>
                <w:rFonts w:hint="eastAsia"/>
                <w:b/>
                <w:bCs/>
                <w:color w:val="1F4E79"/>
                <w:sz w:val="28"/>
                <w:szCs w:val="24"/>
                <w:lang w:eastAsia="zh-CN"/>
              </w:rPr>
              <w:t>编辑：</w:t>
            </w:r>
            <w:r w:rsidR="00421CB0">
              <w:rPr>
                <w:rFonts w:hint="eastAsia"/>
                <w:b/>
                <w:bCs/>
                <w:color w:val="1F4E79"/>
                <w:sz w:val="28"/>
                <w:szCs w:val="24"/>
                <w:lang w:eastAsia="zh-CN"/>
              </w:rPr>
              <w:t>于春春</w:t>
            </w:r>
          </w:p>
          <w:p w:rsidR="00425B93" w:rsidRDefault="008659C3">
            <w:pPr>
              <w:pStyle w:val="TableParagraph"/>
              <w:spacing w:line="360" w:lineRule="auto"/>
              <w:ind w:leftChars="251" w:left="527"/>
              <w:rPr>
                <w:b/>
                <w:bCs/>
                <w:color w:val="1F4E79"/>
                <w:sz w:val="28"/>
                <w:szCs w:val="24"/>
                <w:lang w:eastAsia="zh-CN"/>
              </w:rPr>
            </w:pPr>
            <w:r>
              <w:rPr>
                <w:rFonts w:hint="eastAsia"/>
                <w:b/>
                <w:bCs/>
                <w:color w:val="1F4E79"/>
                <w:sz w:val="28"/>
                <w:szCs w:val="24"/>
                <w:lang w:eastAsia="zh-CN"/>
              </w:rPr>
              <w:t>审核：范珊珊</w:t>
            </w:r>
          </w:p>
          <w:p w:rsidR="00425B93" w:rsidRDefault="00425B93">
            <w:pPr>
              <w:pStyle w:val="TableParagraph"/>
              <w:spacing w:line="360" w:lineRule="auto"/>
              <w:ind w:leftChars="251" w:left="527"/>
              <w:rPr>
                <w:sz w:val="24"/>
                <w:lang w:eastAsia="zh-CN"/>
              </w:rPr>
            </w:pPr>
          </w:p>
          <w:p w:rsidR="00425B93" w:rsidRDefault="00425B93">
            <w:pPr>
              <w:pStyle w:val="TableParagraph"/>
              <w:spacing w:line="360" w:lineRule="auto"/>
              <w:ind w:leftChars="251" w:left="527"/>
              <w:rPr>
                <w:sz w:val="24"/>
                <w:lang w:eastAsia="zh-CN"/>
              </w:rPr>
            </w:pPr>
          </w:p>
          <w:p w:rsidR="00425B93" w:rsidRDefault="00425B93">
            <w:pPr>
              <w:pStyle w:val="TableParagraph"/>
              <w:spacing w:line="360" w:lineRule="auto"/>
              <w:ind w:leftChars="251" w:left="527"/>
              <w:rPr>
                <w:sz w:val="24"/>
                <w:lang w:eastAsia="zh-CN"/>
              </w:rPr>
            </w:pPr>
          </w:p>
          <w:p w:rsidR="00425B93" w:rsidRDefault="00425B93">
            <w:pPr>
              <w:pStyle w:val="TableParagraph"/>
              <w:spacing w:line="360" w:lineRule="auto"/>
              <w:ind w:leftChars="251" w:left="527"/>
              <w:rPr>
                <w:sz w:val="24"/>
                <w:lang w:eastAsia="zh-CN"/>
              </w:rPr>
            </w:pPr>
          </w:p>
          <w:p w:rsidR="00425B93" w:rsidRDefault="00425B93">
            <w:pPr>
              <w:pStyle w:val="TableParagraph"/>
              <w:spacing w:line="360" w:lineRule="auto"/>
              <w:ind w:leftChars="251" w:left="527"/>
              <w:rPr>
                <w:sz w:val="24"/>
                <w:lang w:eastAsia="zh-CN"/>
              </w:rPr>
            </w:pPr>
          </w:p>
          <w:p w:rsidR="00425B93" w:rsidRDefault="00425B93">
            <w:pPr>
              <w:pStyle w:val="TableParagraph"/>
              <w:spacing w:line="360" w:lineRule="auto"/>
              <w:ind w:leftChars="251" w:left="527"/>
              <w:rPr>
                <w:sz w:val="24"/>
                <w:lang w:eastAsia="zh-CN"/>
              </w:rPr>
            </w:pPr>
          </w:p>
          <w:p w:rsidR="00425B93" w:rsidRDefault="00425B93">
            <w:pPr>
              <w:pStyle w:val="TableParagraph"/>
              <w:spacing w:line="360" w:lineRule="auto"/>
              <w:ind w:left="0"/>
              <w:rPr>
                <w:sz w:val="24"/>
                <w:lang w:eastAsia="zh-CN"/>
              </w:rPr>
            </w:pPr>
          </w:p>
          <w:p w:rsidR="00425B93" w:rsidRDefault="00425B93">
            <w:pPr>
              <w:pStyle w:val="TableParagraph"/>
              <w:spacing w:line="360" w:lineRule="auto"/>
              <w:ind w:left="0"/>
              <w:rPr>
                <w:sz w:val="24"/>
                <w:lang w:eastAsia="zh-CN"/>
              </w:rPr>
            </w:pPr>
          </w:p>
        </w:tc>
        <w:tc>
          <w:tcPr>
            <w:tcW w:w="6036" w:type="dxa"/>
            <w:vMerge w:val="restart"/>
            <w:tcBorders>
              <w:top w:val="single" w:sz="24" w:space="0" w:color="1F497C"/>
            </w:tcBorders>
          </w:tcPr>
          <w:p w:rsidR="00425B93" w:rsidRDefault="00425B93">
            <w:pPr>
              <w:pStyle w:val="TableParagraph"/>
              <w:spacing w:line="297" w:lineRule="auto"/>
              <w:ind w:left="0" w:right="317"/>
              <w:jc w:val="both"/>
              <w:rPr>
                <w:rFonts w:ascii="等线" w:eastAsia="等线" w:hAnsi="等线" w:cs="Times New Roman"/>
                <w:kern w:val="2"/>
                <w:sz w:val="21"/>
                <w:lang w:eastAsia="zh-CN"/>
              </w:rPr>
            </w:pPr>
          </w:p>
          <w:p w:rsidR="00425B93" w:rsidRDefault="00425B93">
            <w:pPr>
              <w:autoSpaceDE w:val="0"/>
              <w:autoSpaceDN w:val="0"/>
              <w:jc w:val="right"/>
              <w:rPr>
                <w:kern w:val="0"/>
                <w:sz w:val="22"/>
              </w:rPr>
            </w:pPr>
          </w:p>
          <w:p w:rsidR="001A743B" w:rsidRDefault="001A743B">
            <w:pPr>
              <w:autoSpaceDE w:val="0"/>
              <w:autoSpaceDN w:val="0"/>
              <w:spacing w:line="360" w:lineRule="auto"/>
              <w:ind w:leftChars="200" w:left="420"/>
              <w:jc w:val="center"/>
              <w:rPr>
                <w:rFonts w:ascii="宋体" w:eastAsia="宋体" w:hAnsi="宋体" w:cs="宋体"/>
                <w:b/>
                <w:bCs/>
                <w:color w:val="000000"/>
                <w:spacing w:val="3"/>
                <w:w w:val="99"/>
                <w:kern w:val="0"/>
                <w:sz w:val="36"/>
                <w:szCs w:val="24"/>
              </w:rPr>
            </w:pPr>
          </w:p>
          <w:p w:rsidR="001A743B" w:rsidRDefault="001A743B">
            <w:pPr>
              <w:autoSpaceDE w:val="0"/>
              <w:autoSpaceDN w:val="0"/>
              <w:spacing w:line="360" w:lineRule="auto"/>
              <w:ind w:leftChars="200" w:left="420"/>
              <w:jc w:val="center"/>
              <w:rPr>
                <w:rFonts w:ascii="宋体" w:eastAsia="宋体" w:hAnsi="宋体" w:cs="宋体"/>
                <w:b/>
                <w:bCs/>
                <w:color w:val="000000"/>
                <w:spacing w:val="3"/>
                <w:w w:val="99"/>
                <w:kern w:val="0"/>
                <w:sz w:val="36"/>
                <w:szCs w:val="24"/>
              </w:rPr>
            </w:pPr>
          </w:p>
          <w:p w:rsidR="00425B93" w:rsidRDefault="00DC2F34">
            <w:pPr>
              <w:autoSpaceDE w:val="0"/>
              <w:autoSpaceDN w:val="0"/>
              <w:spacing w:line="360" w:lineRule="auto"/>
              <w:ind w:leftChars="200" w:left="420"/>
              <w:jc w:val="center"/>
              <w:rPr>
                <w:rFonts w:ascii="宋体" w:eastAsia="宋体" w:hAnsi="宋体" w:cs="宋体"/>
                <w:b/>
                <w:bCs/>
                <w:color w:val="000000"/>
                <w:spacing w:val="3"/>
                <w:w w:val="99"/>
                <w:kern w:val="0"/>
                <w:sz w:val="36"/>
                <w:szCs w:val="24"/>
              </w:rPr>
            </w:pPr>
            <w:r w:rsidRPr="00DC2F34">
              <w:rPr>
                <w:rFonts w:ascii="宋体" w:eastAsia="宋体" w:hAnsi="宋体" w:cs="宋体" w:hint="eastAsia"/>
                <w:b/>
                <w:bCs/>
                <w:color w:val="000000"/>
                <w:spacing w:val="3"/>
                <w:w w:val="99"/>
                <w:kern w:val="0"/>
                <w:sz w:val="36"/>
                <w:szCs w:val="24"/>
              </w:rPr>
              <w:t>中国经济站上百万亿　年度答卷彰显制度优势</w:t>
            </w:r>
          </w:p>
          <w:p w:rsidR="001A743B" w:rsidRDefault="001A743B">
            <w:pPr>
              <w:autoSpaceDE w:val="0"/>
              <w:autoSpaceDN w:val="0"/>
              <w:spacing w:line="360" w:lineRule="auto"/>
              <w:ind w:leftChars="200" w:left="420"/>
              <w:jc w:val="center"/>
              <w:rPr>
                <w:rFonts w:ascii="宋体" w:eastAsia="宋体" w:hAnsi="宋体"/>
                <w:kern w:val="0"/>
                <w:sz w:val="22"/>
              </w:rPr>
            </w:pPr>
          </w:p>
          <w:p w:rsidR="00425B93" w:rsidRDefault="00DC2F34" w:rsidP="001A743B">
            <w:pPr>
              <w:autoSpaceDE w:val="0"/>
              <w:autoSpaceDN w:val="0"/>
              <w:spacing w:line="276" w:lineRule="auto"/>
              <w:ind w:leftChars="200" w:left="420" w:firstLineChars="200" w:firstLine="640"/>
              <w:rPr>
                <w:rFonts w:ascii="宋体" w:eastAsia="宋体" w:hAnsi="宋体"/>
                <w:kern w:val="0"/>
                <w:sz w:val="22"/>
              </w:rPr>
            </w:pPr>
            <w:r w:rsidRPr="00DC2F34">
              <w:rPr>
                <w:sz w:val="32"/>
                <w:szCs w:val="32"/>
              </w:rPr>
              <w:t>1月18日，2020年中国经济年报正式出炉：国内生产总值达到101.6万亿元人民币，历史上首次突破100万亿；人均GDP连续第二年超过1万美元，进入中等偏上收入国家行列；全年经济增长2.3%，预计将成为全球唯一实现经济正增长的主要经济体。与此同时，决战脱贫攻坚取得决定性胜利，5575万农村贫困人口实现脱贫；“十三五”规划圆满收官，全面建成小康社会胜利在望……不凡的成绩单镌刻下中国经济里程碑式的伟大飞跃。</w:t>
            </w:r>
          </w:p>
        </w:tc>
      </w:tr>
      <w:tr w:rsidR="00425B93">
        <w:trPr>
          <w:trHeight w:hRule="exact" w:val="4308"/>
        </w:trPr>
        <w:tc>
          <w:tcPr>
            <w:tcW w:w="3926" w:type="dxa"/>
            <w:shd w:val="clear" w:color="auto" w:fill="D8D8D8"/>
          </w:tcPr>
          <w:p w:rsidR="00425B93" w:rsidRDefault="008659C3">
            <w:pPr>
              <w:pStyle w:val="TableParagraph"/>
              <w:ind w:leftChars="251" w:left="527"/>
              <w:rPr>
                <w:b/>
                <w:bCs/>
                <w:color w:val="1F4E79"/>
                <w:sz w:val="28"/>
                <w:szCs w:val="24"/>
                <w:lang w:eastAsia="zh-CN"/>
              </w:rPr>
            </w:pPr>
            <w:r>
              <w:rPr>
                <w:rFonts w:hint="eastAsia"/>
                <w:b/>
                <w:bCs/>
                <w:color w:val="1F4E79"/>
                <w:sz w:val="28"/>
                <w:szCs w:val="24"/>
                <w:lang w:eastAsia="zh-CN"/>
              </w:rPr>
              <w:t>官方网站：cnfic.com.cn</w:t>
            </w:r>
          </w:p>
          <w:p w:rsidR="00425B93" w:rsidRDefault="008659C3">
            <w:pPr>
              <w:pStyle w:val="TableParagraph"/>
              <w:ind w:leftChars="251" w:left="527"/>
              <w:rPr>
                <w:b/>
                <w:bCs/>
                <w:color w:val="1F4E79"/>
                <w:sz w:val="28"/>
                <w:szCs w:val="24"/>
                <w:lang w:eastAsia="zh-CN"/>
              </w:rPr>
            </w:pPr>
            <w:r>
              <w:rPr>
                <w:rFonts w:hint="eastAsia"/>
                <w:b/>
                <w:bCs/>
                <w:color w:val="1F4E79"/>
                <w:sz w:val="28"/>
                <w:szCs w:val="24"/>
                <w:lang w:eastAsia="zh-CN"/>
              </w:rPr>
              <w:t>客服热线：400-6123115</w:t>
            </w:r>
          </w:p>
          <w:p w:rsidR="00425B93" w:rsidRDefault="00425B93">
            <w:pPr>
              <w:widowControl/>
              <w:autoSpaceDE w:val="0"/>
              <w:autoSpaceDN w:val="0"/>
              <w:adjustRightInd w:val="0"/>
              <w:spacing w:line="360" w:lineRule="auto"/>
              <w:rPr>
                <w:rFonts w:ascii="宋体" w:hAnsi="宋体" w:cs="宋体"/>
                <w:kern w:val="0"/>
                <w:sz w:val="23"/>
                <w:szCs w:val="23"/>
                <w:lang w:eastAsia="en-US"/>
              </w:rPr>
            </w:pPr>
          </w:p>
          <w:p w:rsidR="00425B93" w:rsidRDefault="008659C3">
            <w:pPr>
              <w:autoSpaceDE w:val="0"/>
              <w:autoSpaceDN w:val="0"/>
              <w:jc w:val="center"/>
              <w:rPr>
                <w:kern w:val="0"/>
                <w:sz w:val="22"/>
                <w:lang w:eastAsia="en-US"/>
              </w:rPr>
            </w:pPr>
            <w:r>
              <w:rPr>
                <w:noProof/>
                <w:kern w:val="0"/>
                <w:sz w:val="22"/>
              </w:rPr>
              <w:drawing>
                <wp:inline distT="0" distB="0" distL="0" distR="0">
                  <wp:extent cx="1143000" cy="1143000"/>
                  <wp:effectExtent l="19050" t="0" r="0" b="0"/>
                  <wp:docPr id="1" name="图片 1" descr="C:\Users\user\AppData\Local\Temp\WeChat Files\14750feb6268fbdfb3622a0b58b4ca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user\AppData\Local\Temp\WeChat Files\14750feb6268fbdfb3622a0b58b4ca8.jpg"/>
                          <pic:cNvPicPr>
                            <a:picLocks noChangeAspect="1" noChangeArrowheads="1"/>
                          </pic:cNvPicPr>
                        </pic:nvPicPr>
                        <pic:blipFill>
                          <a:blip r:embed="rId9"/>
                          <a:srcRect/>
                          <a:stretch>
                            <a:fillRect/>
                          </a:stretch>
                        </pic:blipFill>
                        <pic:spPr>
                          <a:xfrm>
                            <a:off x="0" y="0"/>
                            <a:ext cx="1143000" cy="1143000"/>
                          </a:xfrm>
                          <a:prstGeom prst="rect">
                            <a:avLst/>
                          </a:prstGeom>
                          <a:noFill/>
                          <a:ln w="9525">
                            <a:noFill/>
                            <a:miter lim="800000"/>
                            <a:headEnd/>
                            <a:tailEnd/>
                          </a:ln>
                        </pic:spPr>
                      </pic:pic>
                    </a:graphicData>
                  </a:graphic>
                </wp:inline>
              </w:drawing>
            </w:r>
          </w:p>
          <w:p w:rsidR="00425B93" w:rsidRDefault="00425B93">
            <w:pPr>
              <w:autoSpaceDE w:val="0"/>
              <w:autoSpaceDN w:val="0"/>
              <w:rPr>
                <w:kern w:val="0"/>
                <w:sz w:val="22"/>
                <w:lang w:eastAsia="en-US"/>
              </w:rPr>
            </w:pPr>
          </w:p>
          <w:p w:rsidR="00425B93" w:rsidRDefault="00425B93">
            <w:pPr>
              <w:autoSpaceDE w:val="0"/>
              <w:autoSpaceDN w:val="0"/>
              <w:rPr>
                <w:kern w:val="0"/>
                <w:sz w:val="22"/>
                <w:lang w:eastAsia="en-US"/>
              </w:rPr>
            </w:pPr>
          </w:p>
          <w:p w:rsidR="00425B93" w:rsidRDefault="00425B93">
            <w:pPr>
              <w:autoSpaceDE w:val="0"/>
              <w:autoSpaceDN w:val="0"/>
              <w:rPr>
                <w:kern w:val="0"/>
                <w:sz w:val="22"/>
                <w:lang w:eastAsia="en-US"/>
              </w:rPr>
            </w:pPr>
          </w:p>
          <w:p w:rsidR="00425B93" w:rsidRDefault="00425B93">
            <w:pPr>
              <w:autoSpaceDE w:val="0"/>
              <w:autoSpaceDN w:val="0"/>
              <w:rPr>
                <w:kern w:val="0"/>
                <w:sz w:val="22"/>
                <w:lang w:eastAsia="en-US"/>
              </w:rPr>
            </w:pPr>
          </w:p>
          <w:p w:rsidR="00425B93" w:rsidRDefault="00425B93">
            <w:pPr>
              <w:autoSpaceDE w:val="0"/>
              <w:autoSpaceDN w:val="0"/>
              <w:rPr>
                <w:kern w:val="0"/>
                <w:sz w:val="22"/>
                <w:lang w:eastAsia="en-US"/>
              </w:rPr>
            </w:pPr>
          </w:p>
          <w:p w:rsidR="00425B93" w:rsidRDefault="00425B93">
            <w:pPr>
              <w:autoSpaceDE w:val="0"/>
              <w:autoSpaceDN w:val="0"/>
              <w:rPr>
                <w:kern w:val="0"/>
                <w:sz w:val="22"/>
                <w:lang w:eastAsia="en-US"/>
              </w:rPr>
            </w:pPr>
          </w:p>
          <w:p w:rsidR="00425B93" w:rsidRDefault="00425B93">
            <w:pPr>
              <w:autoSpaceDE w:val="0"/>
              <w:autoSpaceDN w:val="0"/>
              <w:rPr>
                <w:kern w:val="0"/>
                <w:sz w:val="22"/>
                <w:lang w:eastAsia="en-US"/>
              </w:rPr>
            </w:pPr>
          </w:p>
          <w:p w:rsidR="00425B93" w:rsidRDefault="00425B93">
            <w:pPr>
              <w:autoSpaceDE w:val="0"/>
              <w:autoSpaceDN w:val="0"/>
              <w:rPr>
                <w:kern w:val="0"/>
                <w:sz w:val="22"/>
                <w:lang w:eastAsia="en-US"/>
              </w:rPr>
            </w:pPr>
          </w:p>
          <w:p w:rsidR="00425B93" w:rsidRDefault="00425B93">
            <w:pPr>
              <w:autoSpaceDE w:val="0"/>
              <w:autoSpaceDN w:val="0"/>
              <w:rPr>
                <w:kern w:val="0"/>
                <w:sz w:val="22"/>
                <w:lang w:eastAsia="en-US"/>
              </w:rPr>
            </w:pPr>
          </w:p>
          <w:p w:rsidR="00425B93" w:rsidRDefault="00425B93">
            <w:pPr>
              <w:autoSpaceDE w:val="0"/>
              <w:autoSpaceDN w:val="0"/>
              <w:rPr>
                <w:kern w:val="0"/>
                <w:sz w:val="22"/>
                <w:lang w:eastAsia="en-US"/>
              </w:rPr>
            </w:pPr>
          </w:p>
          <w:p w:rsidR="00425B93" w:rsidRDefault="00425B93">
            <w:pPr>
              <w:autoSpaceDE w:val="0"/>
              <w:autoSpaceDN w:val="0"/>
              <w:rPr>
                <w:kern w:val="0"/>
                <w:sz w:val="22"/>
                <w:lang w:eastAsia="en-US"/>
              </w:rPr>
            </w:pPr>
          </w:p>
          <w:p w:rsidR="00425B93" w:rsidRDefault="00425B93">
            <w:pPr>
              <w:autoSpaceDE w:val="0"/>
              <w:autoSpaceDN w:val="0"/>
              <w:rPr>
                <w:kern w:val="0"/>
                <w:sz w:val="22"/>
                <w:lang w:eastAsia="en-US"/>
              </w:rPr>
            </w:pPr>
          </w:p>
          <w:p w:rsidR="00425B93" w:rsidRDefault="00425B93">
            <w:pPr>
              <w:autoSpaceDE w:val="0"/>
              <w:autoSpaceDN w:val="0"/>
              <w:jc w:val="center"/>
              <w:rPr>
                <w:kern w:val="0"/>
                <w:sz w:val="22"/>
                <w:lang w:eastAsia="en-US"/>
              </w:rPr>
            </w:pPr>
          </w:p>
          <w:p w:rsidR="00425B93" w:rsidRDefault="008659C3">
            <w:pPr>
              <w:tabs>
                <w:tab w:val="left" w:pos="880"/>
              </w:tabs>
              <w:autoSpaceDE w:val="0"/>
              <w:autoSpaceDN w:val="0"/>
              <w:rPr>
                <w:kern w:val="0"/>
                <w:sz w:val="22"/>
                <w:lang w:eastAsia="en-US"/>
              </w:rPr>
            </w:pPr>
            <w:r>
              <w:rPr>
                <w:kern w:val="0"/>
                <w:sz w:val="22"/>
                <w:lang w:eastAsia="en-US"/>
              </w:rPr>
              <w:tab/>
            </w:r>
          </w:p>
        </w:tc>
        <w:tc>
          <w:tcPr>
            <w:tcW w:w="6036" w:type="dxa"/>
            <w:vMerge/>
          </w:tcPr>
          <w:p w:rsidR="00425B93" w:rsidRDefault="00425B93">
            <w:pPr>
              <w:autoSpaceDE w:val="0"/>
              <w:autoSpaceDN w:val="0"/>
              <w:rPr>
                <w:kern w:val="0"/>
                <w:sz w:val="22"/>
                <w:lang w:eastAsia="en-US"/>
              </w:rPr>
            </w:pPr>
          </w:p>
        </w:tc>
      </w:tr>
    </w:tbl>
    <w:p w:rsidR="000B7DCB" w:rsidRDefault="008659C3" w:rsidP="00BA06FA">
      <w:pPr>
        <w:spacing w:beforeLines="50" w:afterLines="50"/>
        <w:jc w:val="center"/>
        <w:rPr>
          <w:noProof/>
        </w:rPr>
      </w:pPr>
      <w:bookmarkStart w:id="0" w:name="_Toc18669450"/>
      <w:r>
        <w:rPr>
          <w:rFonts w:ascii="黑体" w:eastAsia="黑体" w:hAnsi="黑体" w:hint="eastAsia"/>
          <w:b/>
          <w:bCs/>
          <w:sz w:val="36"/>
          <w:szCs w:val="40"/>
        </w:rPr>
        <w:br w:type="page"/>
      </w:r>
      <w:r>
        <w:rPr>
          <w:rFonts w:ascii="黑体" w:eastAsia="黑体" w:hAnsi="黑体" w:hint="eastAsia"/>
          <w:b/>
          <w:bCs/>
          <w:sz w:val="36"/>
          <w:szCs w:val="40"/>
        </w:rPr>
        <w:lastRenderedPageBreak/>
        <w:t>目录</w:t>
      </w:r>
      <w:bookmarkEnd w:id="0"/>
      <w:r w:rsidR="00F00806" w:rsidRPr="00F00806">
        <w:fldChar w:fldCharType="begin"/>
      </w:r>
      <w:r>
        <w:instrText xml:space="preserve"> TOC \o "1-3" \h \z \u </w:instrText>
      </w:r>
      <w:r w:rsidR="00F00806" w:rsidRPr="00F00806">
        <w:fldChar w:fldCharType="separate"/>
      </w:r>
    </w:p>
    <w:p w:rsidR="000B7DCB" w:rsidRDefault="00F00806">
      <w:pPr>
        <w:pStyle w:val="10"/>
        <w:tabs>
          <w:tab w:val="right" w:leader="dot" w:pos="9774"/>
        </w:tabs>
        <w:rPr>
          <w:rFonts w:asciiTheme="minorHAnsi" w:eastAsiaTheme="minorEastAsia" w:hAnsiTheme="minorHAnsi" w:cstheme="minorBidi"/>
          <w:b w:val="0"/>
          <w:noProof/>
          <w:sz w:val="21"/>
        </w:rPr>
      </w:pPr>
      <w:hyperlink w:anchor="_Toc62456416" w:history="1">
        <w:r w:rsidR="000B7DCB" w:rsidRPr="00290639">
          <w:rPr>
            <w:rStyle w:val="ac"/>
            <w:noProof/>
          </w:rPr>
          <w:t>【一周焦点】</w:t>
        </w:r>
        <w:r w:rsidR="000B7DCB">
          <w:rPr>
            <w:noProof/>
            <w:webHidden/>
          </w:rPr>
          <w:tab/>
        </w:r>
        <w:r>
          <w:rPr>
            <w:noProof/>
            <w:webHidden/>
          </w:rPr>
          <w:fldChar w:fldCharType="begin"/>
        </w:r>
        <w:r w:rsidR="000B7DCB">
          <w:rPr>
            <w:noProof/>
            <w:webHidden/>
          </w:rPr>
          <w:instrText xml:space="preserve"> PAGEREF _Toc62456416 \h </w:instrText>
        </w:r>
        <w:r>
          <w:rPr>
            <w:noProof/>
            <w:webHidden/>
          </w:rPr>
        </w:r>
        <w:r>
          <w:rPr>
            <w:noProof/>
            <w:webHidden/>
          </w:rPr>
          <w:fldChar w:fldCharType="separate"/>
        </w:r>
        <w:r w:rsidR="000B7DCB">
          <w:rPr>
            <w:noProof/>
            <w:webHidden/>
          </w:rPr>
          <w:t>4</w:t>
        </w:r>
        <w:r>
          <w:rPr>
            <w:noProof/>
            <w:webHidden/>
          </w:rPr>
          <w:fldChar w:fldCharType="end"/>
        </w:r>
      </w:hyperlink>
    </w:p>
    <w:p w:rsidR="000B7DCB" w:rsidRDefault="00F00806">
      <w:pPr>
        <w:pStyle w:val="20"/>
        <w:tabs>
          <w:tab w:val="right" w:leader="dot" w:pos="9774"/>
        </w:tabs>
        <w:ind w:left="210"/>
        <w:rPr>
          <w:rFonts w:asciiTheme="minorHAnsi" w:eastAsiaTheme="minorEastAsia" w:hAnsiTheme="minorHAnsi" w:cstheme="minorBidi"/>
          <w:b w:val="0"/>
          <w:noProof/>
          <w:sz w:val="21"/>
        </w:rPr>
      </w:pPr>
      <w:hyperlink w:anchor="_Toc62456417" w:history="1">
        <w:r w:rsidR="000B7DCB" w:rsidRPr="00290639">
          <w:rPr>
            <w:rStyle w:val="ac"/>
            <w:noProof/>
          </w:rPr>
          <w:t>中国经济站上百万亿　年度答卷彰显制度优势</w:t>
        </w:r>
        <w:r w:rsidR="000B7DCB">
          <w:rPr>
            <w:noProof/>
            <w:webHidden/>
          </w:rPr>
          <w:tab/>
        </w:r>
        <w:r>
          <w:rPr>
            <w:noProof/>
            <w:webHidden/>
          </w:rPr>
          <w:fldChar w:fldCharType="begin"/>
        </w:r>
        <w:r w:rsidR="000B7DCB">
          <w:rPr>
            <w:noProof/>
            <w:webHidden/>
          </w:rPr>
          <w:instrText xml:space="preserve"> PAGEREF _Toc62456417 \h </w:instrText>
        </w:r>
        <w:r>
          <w:rPr>
            <w:noProof/>
            <w:webHidden/>
          </w:rPr>
        </w:r>
        <w:r>
          <w:rPr>
            <w:noProof/>
            <w:webHidden/>
          </w:rPr>
          <w:fldChar w:fldCharType="separate"/>
        </w:r>
        <w:r w:rsidR="000B7DCB">
          <w:rPr>
            <w:noProof/>
            <w:webHidden/>
          </w:rPr>
          <w:t>4</w:t>
        </w:r>
        <w:r>
          <w:rPr>
            <w:noProof/>
            <w:webHidden/>
          </w:rPr>
          <w:fldChar w:fldCharType="end"/>
        </w:r>
      </w:hyperlink>
    </w:p>
    <w:p w:rsidR="000B7DCB" w:rsidRDefault="00F00806">
      <w:pPr>
        <w:pStyle w:val="10"/>
        <w:tabs>
          <w:tab w:val="right" w:leader="dot" w:pos="9774"/>
        </w:tabs>
        <w:rPr>
          <w:rFonts w:asciiTheme="minorHAnsi" w:eastAsiaTheme="minorEastAsia" w:hAnsiTheme="minorHAnsi" w:cstheme="minorBidi"/>
          <w:b w:val="0"/>
          <w:noProof/>
          <w:sz w:val="21"/>
        </w:rPr>
      </w:pPr>
      <w:hyperlink w:anchor="_Toc62456418" w:history="1">
        <w:r w:rsidR="000B7DCB" w:rsidRPr="00290639">
          <w:rPr>
            <w:rStyle w:val="ac"/>
            <w:noProof/>
          </w:rPr>
          <w:t>【经验交流】</w:t>
        </w:r>
        <w:r w:rsidR="000B7DCB">
          <w:rPr>
            <w:noProof/>
            <w:webHidden/>
          </w:rPr>
          <w:tab/>
        </w:r>
        <w:r>
          <w:rPr>
            <w:noProof/>
            <w:webHidden/>
          </w:rPr>
          <w:fldChar w:fldCharType="begin"/>
        </w:r>
        <w:r w:rsidR="000B7DCB">
          <w:rPr>
            <w:noProof/>
            <w:webHidden/>
          </w:rPr>
          <w:instrText xml:space="preserve"> PAGEREF _Toc62456418 \h </w:instrText>
        </w:r>
        <w:r>
          <w:rPr>
            <w:noProof/>
            <w:webHidden/>
          </w:rPr>
        </w:r>
        <w:r>
          <w:rPr>
            <w:noProof/>
            <w:webHidden/>
          </w:rPr>
          <w:fldChar w:fldCharType="separate"/>
        </w:r>
        <w:r w:rsidR="000B7DCB">
          <w:rPr>
            <w:noProof/>
            <w:webHidden/>
          </w:rPr>
          <w:t>6</w:t>
        </w:r>
        <w:r>
          <w:rPr>
            <w:noProof/>
            <w:webHidden/>
          </w:rPr>
          <w:fldChar w:fldCharType="end"/>
        </w:r>
      </w:hyperlink>
    </w:p>
    <w:p w:rsidR="000B7DCB" w:rsidRDefault="00F00806">
      <w:pPr>
        <w:pStyle w:val="20"/>
        <w:tabs>
          <w:tab w:val="right" w:leader="dot" w:pos="9774"/>
        </w:tabs>
        <w:ind w:left="210"/>
        <w:rPr>
          <w:rFonts w:asciiTheme="minorHAnsi" w:eastAsiaTheme="minorEastAsia" w:hAnsiTheme="minorHAnsi" w:cstheme="minorBidi"/>
          <w:b w:val="0"/>
          <w:noProof/>
          <w:sz w:val="21"/>
        </w:rPr>
      </w:pPr>
      <w:hyperlink w:anchor="_Toc62456419" w:history="1">
        <w:r w:rsidR="000B7DCB" w:rsidRPr="00290639">
          <w:rPr>
            <w:rStyle w:val="ac"/>
            <w:noProof/>
          </w:rPr>
          <w:t>余额突破</w:t>
        </w:r>
        <w:r w:rsidR="000B7DCB" w:rsidRPr="00290639">
          <w:rPr>
            <w:rStyle w:val="ac"/>
            <w:noProof/>
          </w:rPr>
          <w:t>15</w:t>
        </w:r>
        <w:r w:rsidR="000B7DCB" w:rsidRPr="00290639">
          <w:rPr>
            <w:rStyle w:val="ac"/>
            <w:noProof/>
          </w:rPr>
          <w:t>万亿元！小微企业贷款迅猛增长靠什么？</w:t>
        </w:r>
        <w:r w:rsidR="000B7DCB">
          <w:rPr>
            <w:noProof/>
            <w:webHidden/>
          </w:rPr>
          <w:tab/>
        </w:r>
        <w:r>
          <w:rPr>
            <w:noProof/>
            <w:webHidden/>
          </w:rPr>
          <w:fldChar w:fldCharType="begin"/>
        </w:r>
        <w:r w:rsidR="000B7DCB">
          <w:rPr>
            <w:noProof/>
            <w:webHidden/>
          </w:rPr>
          <w:instrText xml:space="preserve"> PAGEREF _Toc62456419 \h </w:instrText>
        </w:r>
        <w:r>
          <w:rPr>
            <w:noProof/>
            <w:webHidden/>
          </w:rPr>
        </w:r>
        <w:r>
          <w:rPr>
            <w:noProof/>
            <w:webHidden/>
          </w:rPr>
          <w:fldChar w:fldCharType="separate"/>
        </w:r>
        <w:r w:rsidR="000B7DCB">
          <w:rPr>
            <w:noProof/>
            <w:webHidden/>
          </w:rPr>
          <w:t>6</w:t>
        </w:r>
        <w:r>
          <w:rPr>
            <w:noProof/>
            <w:webHidden/>
          </w:rPr>
          <w:fldChar w:fldCharType="end"/>
        </w:r>
      </w:hyperlink>
    </w:p>
    <w:p w:rsidR="000B7DCB" w:rsidRDefault="00F00806">
      <w:pPr>
        <w:pStyle w:val="10"/>
        <w:tabs>
          <w:tab w:val="right" w:leader="dot" w:pos="9774"/>
        </w:tabs>
        <w:rPr>
          <w:rFonts w:asciiTheme="minorHAnsi" w:eastAsiaTheme="minorEastAsia" w:hAnsiTheme="minorHAnsi" w:cstheme="minorBidi"/>
          <w:b w:val="0"/>
          <w:noProof/>
          <w:sz w:val="21"/>
        </w:rPr>
      </w:pPr>
      <w:hyperlink w:anchor="_Toc62456420" w:history="1">
        <w:r w:rsidR="000B7DCB" w:rsidRPr="00290639">
          <w:rPr>
            <w:rStyle w:val="ac"/>
            <w:noProof/>
          </w:rPr>
          <w:t>【政策要闻】</w:t>
        </w:r>
        <w:r w:rsidR="000B7DCB">
          <w:rPr>
            <w:noProof/>
            <w:webHidden/>
          </w:rPr>
          <w:tab/>
        </w:r>
        <w:r>
          <w:rPr>
            <w:noProof/>
            <w:webHidden/>
          </w:rPr>
          <w:fldChar w:fldCharType="begin"/>
        </w:r>
        <w:r w:rsidR="000B7DCB">
          <w:rPr>
            <w:noProof/>
            <w:webHidden/>
          </w:rPr>
          <w:instrText xml:space="preserve"> PAGEREF _Toc62456420 \h </w:instrText>
        </w:r>
        <w:r>
          <w:rPr>
            <w:noProof/>
            <w:webHidden/>
          </w:rPr>
        </w:r>
        <w:r>
          <w:rPr>
            <w:noProof/>
            <w:webHidden/>
          </w:rPr>
          <w:fldChar w:fldCharType="separate"/>
        </w:r>
        <w:r w:rsidR="000B7DCB">
          <w:rPr>
            <w:noProof/>
            <w:webHidden/>
          </w:rPr>
          <w:t>7</w:t>
        </w:r>
        <w:r>
          <w:rPr>
            <w:noProof/>
            <w:webHidden/>
          </w:rPr>
          <w:fldChar w:fldCharType="end"/>
        </w:r>
      </w:hyperlink>
    </w:p>
    <w:p w:rsidR="000B7DCB" w:rsidRDefault="00F00806">
      <w:pPr>
        <w:pStyle w:val="20"/>
        <w:tabs>
          <w:tab w:val="right" w:leader="dot" w:pos="9774"/>
        </w:tabs>
        <w:ind w:left="210"/>
        <w:rPr>
          <w:rFonts w:asciiTheme="minorHAnsi" w:eastAsiaTheme="minorEastAsia" w:hAnsiTheme="minorHAnsi" w:cstheme="minorBidi"/>
          <w:b w:val="0"/>
          <w:noProof/>
          <w:sz w:val="21"/>
        </w:rPr>
      </w:pPr>
      <w:hyperlink w:anchor="_Toc62456421" w:history="1">
        <w:r w:rsidR="000B7DCB" w:rsidRPr="00290639">
          <w:rPr>
            <w:rStyle w:val="ac"/>
            <w:noProof/>
          </w:rPr>
          <w:t xml:space="preserve">重磅政策催化　</w:t>
        </w:r>
        <w:r w:rsidR="000B7DCB" w:rsidRPr="00290639">
          <w:rPr>
            <w:rStyle w:val="ac"/>
            <w:noProof/>
          </w:rPr>
          <w:t>3</w:t>
        </w:r>
        <w:r w:rsidR="000B7DCB" w:rsidRPr="00290639">
          <w:rPr>
            <w:rStyle w:val="ac"/>
            <w:noProof/>
          </w:rPr>
          <w:t>万亿银行不良处置迎机遇</w:t>
        </w:r>
        <w:r w:rsidR="000B7DCB">
          <w:rPr>
            <w:noProof/>
            <w:webHidden/>
          </w:rPr>
          <w:tab/>
        </w:r>
        <w:r>
          <w:rPr>
            <w:noProof/>
            <w:webHidden/>
          </w:rPr>
          <w:fldChar w:fldCharType="begin"/>
        </w:r>
        <w:r w:rsidR="000B7DCB">
          <w:rPr>
            <w:noProof/>
            <w:webHidden/>
          </w:rPr>
          <w:instrText xml:space="preserve"> PAGEREF _Toc62456421 \h </w:instrText>
        </w:r>
        <w:r>
          <w:rPr>
            <w:noProof/>
            <w:webHidden/>
          </w:rPr>
        </w:r>
        <w:r>
          <w:rPr>
            <w:noProof/>
            <w:webHidden/>
          </w:rPr>
          <w:fldChar w:fldCharType="separate"/>
        </w:r>
        <w:r w:rsidR="000B7DCB">
          <w:rPr>
            <w:noProof/>
            <w:webHidden/>
          </w:rPr>
          <w:t>7</w:t>
        </w:r>
        <w:r>
          <w:rPr>
            <w:noProof/>
            <w:webHidden/>
          </w:rPr>
          <w:fldChar w:fldCharType="end"/>
        </w:r>
      </w:hyperlink>
    </w:p>
    <w:p w:rsidR="000B7DCB" w:rsidRDefault="00F00806">
      <w:pPr>
        <w:pStyle w:val="20"/>
        <w:tabs>
          <w:tab w:val="right" w:leader="dot" w:pos="9774"/>
        </w:tabs>
        <w:ind w:left="210"/>
        <w:rPr>
          <w:rFonts w:asciiTheme="minorHAnsi" w:eastAsiaTheme="minorEastAsia" w:hAnsiTheme="minorHAnsi" w:cstheme="minorBidi"/>
          <w:b w:val="0"/>
          <w:noProof/>
          <w:sz w:val="21"/>
        </w:rPr>
      </w:pPr>
      <w:hyperlink w:anchor="_Toc62456422" w:history="1">
        <w:r w:rsidR="000B7DCB" w:rsidRPr="00290639">
          <w:rPr>
            <w:rStyle w:val="ac"/>
            <w:noProof/>
          </w:rPr>
          <w:t>事关亿户市场主体</w:t>
        </w:r>
        <w:r w:rsidR="000B7DCB" w:rsidRPr="00290639">
          <w:rPr>
            <w:rStyle w:val="ac"/>
            <w:noProof/>
          </w:rPr>
          <w:t>“</w:t>
        </w:r>
        <w:r w:rsidR="000B7DCB" w:rsidRPr="00290639">
          <w:rPr>
            <w:rStyle w:val="ac"/>
            <w:noProof/>
          </w:rPr>
          <w:t>取名</w:t>
        </w:r>
        <w:r w:rsidR="000B7DCB" w:rsidRPr="00290639">
          <w:rPr>
            <w:rStyle w:val="ac"/>
            <w:noProof/>
          </w:rPr>
          <w:t>”</w:t>
        </w:r>
        <w:r w:rsidR="000B7DCB" w:rsidRPr="00290639">
          <w:rPr>
            <w:rStyle w:val="ac"/>
            <w:noProof/>
          </w:rPr>
          <w:t>，今年</w:t>
        </w:r>
        <w:r w:rsidR="000B7DCB" w:rsidRPr="00290639">
          <w:rPr>
            <w:rStyle w:val="ac"/>
            <w:noProof/>
          </w:rPr>
          <w:t>3</w:t>
        </w:r>
        <w:r w:rsidR="000B7DCB" w:rsidRPr="00290639">
          <w:rPr>
            <w:rStyle w:val="ac"/>
            <w:noProof/>
          </w:rPr>
          <w:t>月起施行这项新规</w:t>
        </w:r>
        <w:r w:rsidR="000B7DCB">
          <w:rPr>
            <w:noProof/>
            <w:webHidden/>
          </w:rPr>
          <w:tab/>
        </w:r>
        <w:r>
          <w:rPr>
            <w:noProof/>
            <w:webHidden/>
          </w:rPr>
          <w:fldChar w:fldCharType="begin"/>
        </w:r>
        <w:r w:rsidR="000B7DCB">
          <w:rPr>
            <w:noProof/>
            <w:webHidden/>
          </w:rPr>
          <w:instrText xml:space="preserve"> PAGEREF _Toc62456422 \h </w:instrText>
        </w:r>
        <w:r>
          <w:rPr>
            <w:noProof/>
            <w:webHidden/>
          </w:rPr>
        </w:r>
        <w:r>
          <w:rPr>
            <w:noProof/>
            <w:webHidden/>
          </w:rPr>
          <w:fldChar w:fldCharType="separate"/>
        </w:r>
        <w:r w:rsidR="000B7DCB">
          <w:rPr>
            <w:noProof/>
            <w:webHidden/>
          </w:rPr>
          <w:t>10</w:t>
        </w:r>
        <w:r>
          <w:rPr>
            <w:noProof/>
            <w:webHidden/>
          </w:rPr>
          <w:fldChar w:fldCharType="end"/>
        </w:r>
      </w:hyperlink>
    </w:p>
    <w:p w:rsidR="000B7DCB" w:rsidRDefault="00F00806">
      <w:pPr>
        <w:pStyle w:val="20"/>
        <w:tabs>
          <w:tab w:val="right" w:leader="dot" w:pos="9774"/>
        </w:tabs>
        <w:ind w:left="210"/>
        <w:rPr>
          <w:rFonts w:asciiTheme="minorHAnsi" w:eastAsiaTheme="minorEastAsia" w:hAnsiTheme="minorHAnsi" w:cstheme="minorBidi"/>
          <w:b w:val="0"/>
          <w:noProof/>
          <w:sz w:val="21"/>
        </w:rPr>
      </w:pPr>
      <w:hyperlink w:anchor="_Toc62456423" w:history="1">
        <w:r w:rsidR="000B7DCB" w:rsidRPr="00290639">
          <w:rPr>
            <w:rStyle w:val="ac"/>
            <w:noProof/>
          </w:rPr>
          <w:t>贷款利率近</w:t>
        </w:r>
        <w:r w:rsidR="000B7DCB" w:rsidRPr="00290639">
          <w:rPr>
            <w:rStyle w:val="ac"/>
            <w:noProof/>
          </w:rPr>
          <w:t>5</w:t>
        </w:r>
        <w:r w:rsidR="000B7DCB" w:rsidRPr="00290639">
          <w:rPr>
            <w:rStyle w:val="ac"/>
            <w:noProof/>
          </w:rPr>
          <w:t>年来最低！是否还有下调空间？</w:t>
        </w:r>
        <w:r w:rsidR="000B7DCB">
          <w:rPr>
            <w:noProof/>
            <w:webHidden/>
          </w:rPr>
          <w:tab/>
        </w:r>
        <w:r>
          <w:rPr>
            <w:noProof/>
            <w:webHidden/>
          </w:rPr>
          <w:fldChar w:fldCharType="begin"/>
        </w:r>
        <w:r w:rsidR="000B7DCB">
          <w:rPr>
            <w:noProof/>
            <w:webHidden/>
          </w:rPr>
          <w:instrText xml:space="preserve"> PAGEREF _Toc62456423 \h </w:instrText>
        </w:r>
        <w:r>
          <w:rPr>
            <w:noProof/>
            <w:webHidden/>
          </w:rPr>
        </w:r>
        <w:r>
          <w:rPr>
            <w:noProof/>
            <w:webHidden/>
          </w:rPr>
          <w:fldChar w:fldCharType="separate"/>
        </w:r>
        <w:r w:rsidR="000B7DCB">
          <w:rPr>
            <w:noProof/>
            <w:webHidden/>
          </w:rPr>
          <w:t>11</w:t>
        </w:r>
        <w:r>
          <w:rPr>
            <w:noProof/>
            <w:webHidden/>
          </w:rPr>
          <w:fldChar w:fldCharType="end"/>
        </w:r>
      </w:hyperlink>
    </w:p>
    <w:p w:rsidR="000B7DCB" w:rsidRDefault="00F00806">
      <w:pPr>
        <w:pStyle w:val="20"/>
        <w:tabs>
          <w:tab w:val="right" w:leader="dot" w:pos="9774"/>
        </w:tabs>
        <w:ind w:left="210"/>
        <w:rPr>
          <w:rFonts w:asciiTheme="minorHAnsi" w:eastAsiaTheme="minorEastAsia" w:hAnsiTheme="minorHAnsi" w:cstheme="minorBidi"/>
          <w:b w:val="0"/>
          <w:noProof/>
          <w:sz w:val="21"/>
        </w:rPr>
      </w:pPr>
      <w:hyperlink w:anchor="_Toc62456424" w:history="1">
        <w:r w:rsidR="000B7DCB" w:rsidRPr="00290639">
          <w:rPr>
            <w:rStyle w:val="ac"/>
            <w:noProof/>
          </w:rPr>
          <w:t>国常会：坚决制止涉企乱收费　有序做好法定税费征缴</w:t>
        </w:r>
        <w:r w:rsidR="000B7DCB">
          <w:rPr>
            <w:noProof/>
            <w:webHidden/>
          </w:rPr>
          <w:tab/>
        </w:r>
        <w:r>
          <w:rPr>
            <w:noProof/>
            <w:webHidden/>
          </w:rPr>
          <w:fldChar w:fldCharType="begin"/>
        </w:r>
        <w:r w:rsidR="000B7DCB">
          <w:rPr>
            <w:noProof/>
            <w:webHidden/>
          </w:rPr>
          <w:instrText xml:space="preserve"> PAGEREF _Toc62456424 \h </w:instrText>
        </w:r>
        <w:r>
          <w:rPr>
            <w:noProof/>
            <w:webHidden/>
          </w:rPr>
        </w:r>
        <w:r>
          <w:rPr>
            <w:noProof/>
            <w:webHidden/>
          </w:rPr>
          <w:fldChar w:fldCharType="separate"/>
        </w:r>
        <w:r w:rsidR="000B7DCB">
          <w:rPr>
            <w:noProof/>
            <w:webHidden/>
          </w:rPr>
          <w:t>12</w:t>
        </w:r>
        <w:r>
          <w:rPr>
            <w:noProof/>
            <w:webHidden/>
          </w:rPr>
          <w:fldChar w:fldCharType="end"/>
        </w:r>
      </w:hyperlink>
    </w:p>
    <w:p w:rsidR="000B7DCB" w:rsidRDefault="00F00806">
      <w:pPr>
        <w:pStyle w:val="20"/>
        <w:tabs>
          <w:tab w:val="right" w:leader="dot" w:pos="9774"/>
        </w:tabs>
        <w:ind w:left="210"/>
        <w:rPr>
          <w:rFonts w:asciiTheme="minorHAnsi" w:eastAsiaTheme="minorEastAsia" w:hAnsiTheme="minorHAnsi" w:cstheme="minorBidi"/>
          <w:b w:val="0"/>
          <w:noProof/>
          <w:sz w:val="21"/>
        </w:rPr>
      </w:pPr>
      <w:hyperlink w:anchor="_Toc62456425" w:history="1">
        <w:r w:rsidR="000B7DCB" w:rsidRPr="00290639">
          <w:rPr>
            <w:rStyle w:val="ac"/>
            <w:noProof/>
          </w:rPr>
          <w:t>严控新增个人代持！国资委加强央企境外国有产权管理</w:t>
        </w:r>
        <w:r w:rsidR="000B7DCB">
          <w:rPr>
            <w:noProof/>
            <w:webHidden/>
          </w:rPr>
          <w:tab/>
        </w:r>
        <w:r>
          <w:rPr>
            <w:noProof/>
            <w:webHidden/>
          </w:rPr>
          <w:fldChar w:fldCharType="begin"/>
        </w:r>
        <w:r w:rsidR="000B7DCB">
          <w:rPr>
            <w:noProof/>
            <w:webHidden/>
          </w:rPr>
          <w:instrText xml:space="preserve"> PAGEREF _Toc62456425 \h </w:instrText>
        </w:r>
        <w:r>
          <w:rPr>
            <w:noProof/>
            <w:webHidden/>
          </w:rPr>
        </w:r>
        <w:r>
          <w:rPr>
            <w:noProof/>
            <w:webHidden/>
          </w:rPr>
          <w:fldChar w:fldCharType="separate"/>
        </w:r>
        <w:r w:rsidR="000B7DCB">
          <w:rPr>
            <w:noProof/>
            <w:webHidden/>
          </w:rPr>
          <w:t>13</w:t>
        </w:r>
        <w:r>
          <w:rPr>
            <w:noProof/>
            <w:webHidden/>
          </w:rPr>
          <w:fldChar w:fldCharType="end"/>
        </w:r>
      </w:hyperlink>
    </w:p>
    <w:p w:rsidR="000B7DCB" w:rsidRDefault="00F00806">
      <w:pPr>
        <w:pStyle w:val="20"/>
        <w:tabs>
          <w:tab w:val="right" w:leader="dot" w:pos="9774"/>
        </w:tabs>
        <w:ind w:left="210"/>
        <w:rPr>
          <w:rFonts w:asciiTheme="minorHAnsi" w:eastAsiaTheme="minorEastAsia" w:hAnsiTheme="minorHAnsi" w:cstheme="minorBidi"/>
          <w:b w:val="0"/>
          <w:noProof/>
          <w:sz w:val="21"/>
        </w:rPr>
      </w:pPr>
      <w:hyperlink w:anchor="_Toc62456426" w:history="1">
        <w:r w:rsidR="000B7DCB" w:rsidRPr="00290639">
          <w:rPr>
            <w:rStyle w:val="ac"/>
            <w:noProof/>
          </w:rPr>
          <w:t>风险总体可控改革持续推进</w:t>
        </w:r>
        <w:r w:rsidR="000B7DCB" w:rsidRPr="00290639">
          <w:rPr>
            <w:rStyle w:val="ac"/>
            <w:noProof/>
          </w:rPr>
          <w:t>——</w:t>
        </w:r>
        <w:r w:rsidR="000B7DCB" w:rsidRPr="00290639">
          <w:rPr>
            <w:rStyle w:val="ac"/>
            <w:noProof/>
          </w:rPr>
          <w:t>中国银保监会相关负责人谈银行业保险业改革发展情况</w:t>
        </w:r>
        <w:r w:rsidR="000B7DCB">
          <w:rPr>
            <w:noProof/>
            <w:webHidden/>
          </w:rPr>
          <w:tab/>
        </w:r>
        <w:r>
          <w:rPr>
            <w:noProof/>
            <w:webHidden/>
          </w:rPr>
          <w:fldChar w:fldCharType="begin"/>
        </w:r>
        <w:r w:rsidR="000B7DCB">
          <w:rPr>
            <w:noProof/>
            <w:webHidden/>
          </w:rPr>
          <w:instrText xml:space="preserve"> PAGEREF _Toc62456426 \h </w:instrText>
        </w:r>
        <w:r>
          <w:rPr>
            <w:noProof/>
            <w:webHidden/>
          </w:rPr>
        </w:r>
        <w:r>
          <w:rPr>
            <w:noProof/>
            <w:webHidden/>
          </w:rPr>
          <w:fldChar w:fldCharType="separate"/>
        </w:r>
        <w:r w:rsidR="000B7DCB">
          <w:rPr>
            <w:noProof/>
            <w:webHidden/>
          </w:rPr>
          <w:t>13</w:t>
        </w:r>
        <w:r>
          <w:rPr>
            <w:noProof/>
            <w:webHidden/>
          </w:rPr>
          <w:fldChar w:fldCharType="end"/>
        </w:r>
      </w:hyperlink>
    </w:p>
    <w:p w:rsidR="000B7DCB" w:rsidRDefault="00F00806">
      <w:pPr>
        <w:pStyle w:val="10"/>
        <w:tabs>
          <w:tab w:val="right" w:leader="dot" w:pos="9774"/>
        </w:tabs>
        <w:rPr>
          <w:rFonts w:asciiTheme="minorHAnsi" w:eastAsiaTheme="minorEastAsia" w:hAnsiTheme="minorHAnsi" w:cstheme="minorBidi"/>
          <w:b w:val="0"/>
          <w:noProof/>
          <w:sz w:val="21"/>
        </w:rPr>
      </w:pPr>
      <w:hyperlink w:anchor="_Toc62456427" w:history="1">
        <w:r w:rsidR="000B7DCB" w:rsidRPr="00290639">
          <w:rPr>
            <w:rStyle w:val="ac"/>
            <w:noProof/>
          </w:rPr>
          <w:t>【金融监管】</w:t>
        </w:r>
        <w:r w:rsidR="000B7DCB">
          <w:rPr>
            <w:noProof/>
            <w:webHidden/>
          </w:rPr>
          <w:tab/>
        </w:r>
        <w:r>
          <w:rPr>
            <w:noProof/>
            <w:webHidden/>
          </w:rPr>
          <w:fldChar w:fldCharType="begin"/>
        </w:r>
        <w:r w:rsidR="000B7DCB">
          <w:rPr>
            <w:noProof/>
            <w:webHidden/>
          </w:rPr>
          <w:instrText xml:space="preserve"> PAGEREF _Toc62456427 \h </w:instrText>
        </w:r>
        <w:r>
          <w:rPr>
            <w:noProof/>
            <w:webHidden/>
          </w:rPr>
        </w:r>
        <w:r>
          <w:rPr>
            <w:noProof/>
            <w:webHidden/>
          </w:rPr>
          <w:fldChar w:fldCharType="separate"/>
        </w:r>
        <w:r w:rsidR="000B7DCB">
          <w:rPr>
            <w:noProof/>
            <w:webHidden/>
          </w:rPr>
          <w:t>15</w:t>
        </w:r>
        <w:r>
          <w:rPr>
            <w:noProof/>
            <w:webHidden/>
          </w:rPr>
          <w:fldChar w:fldCharType="end"/>
        </w:r>
      </w:hyperlink>
    </w:p>
    <w:p w:rsidR="000B7DCB" w:rsidRDefault="00F00806">
      <w:pPr>
        <w:pStyle w:val="20"/>
        <w:tabs>
          <w:tab w:val="right" w:leader="dot" w:pos="9774"/>
        </w:tabs>
        <w:ind w:left="210"/>
        <w:rPr>
          <w:rFonts w:asciiTheme="minorHAnsi" w:eastAsiaTheme="minorEastAsia" w:hAnsiTheme="minorHAnsi" w:cstheme="minorBidi"/>
          <w:b w:val="0"/>
          <w:noProof/>
          <w:sz w:val="21"/>
        </w:rPr>
      </w:pPr>
      <w:hyperlink w:anchor="_Toc62456428" w:history="1">
        <w:r w:rsidR="000B7DCB" w:rsidRPr="00290639">
          <w:rPr>
            <w:rStyle w:val="ac"/>
            <w:noProof/>
          </w:rPr>
          <w:t>对险企投资资产穿透到底偿二代二期修订征求意见</w:t>
        </w:r>
        <w:r w:rsidR="000B7DCB">
          <w:rPr>
            <w:noProof/>
            <w:webHidden/>
          </w:rPr>
          <w:tab/>
        </w:r>
        <w:r>
          <w:rPr>
            <w:noProof/>
            <w:webHidden/>
          </w:rPr>
          <w:fldChar w:fldCharType="begin"/>
        </w:r>
        <w:r w:rsidR="000B7DCB">
          <w:rPr>
            <w:noProof/>
            <w:webHidden/>
          </w:rPr>
          <w:instrText xml:space="preserve"> PAGEREF _Toc62456428 \h </w:instrText>
        </w:r>
        <w:r>
          <w:rPr>
            <w:noProof/>
            <w:webHidden/>
          </w:rPr>
        </w:r>
        <w:r>
          <w:rPr>
            <w:noProof/>
            <w:webHidden/>
          </w:rPr>
          <w:fldChar w:fldCharType="separate"/>
        </w:r>
        <w:r w:rsidR="000B7DCB">
          <w:rPr>
            <w:noProof/>
            <w:webHidden/>
          </w:rPr>
          <w:t>15</w:t>
        </w:r>
        <w:r>
          <w:rPr>
            <w:noProof/>
            <w:webHidden/>
          </w:rPr>
          <w:fldChar w:fldCharType="end"/>
        </w:r>
      </w:hyperlink>
    </w:p>
    <w:p w:rsidR="000B7DCB" w:rsidRDefault="00F00806">
      <w:pPr>
        <w:pStyle w:val="20"/>
        <w:tabs>
          <w:tab w:val="right" w:leader="dot" w:pos="9774"/>
        </w:tabs>
        <w:ind w:left="210"/>
        <w:rPr>
          <w:rFonts w:asciiTheme="minorHAnsi" w:eastAsiaTheme="minorEastAsia" w:hAnsiTheme="minorHAnsi" w:cstheme="minorBidi"/>
          <w:b w:val="0"/>
          <w:noProof/>
          <w:sz w:val="21"/>
        </w:rPr>
      </w:pPr>
      <w:hyperlink w:anchor="_Toc62456429" w:history="1">
        <w:r w:rsidR="000B7DCB" w:rsidRPr="00290639">
          <w:rPr>
            <w:rStyle w:val="ac"/>
            <w:noProof/>
          </w:rPr>
          <w:t>银保监会拟加强商业银行负债质量管理</w:t>
        </w:r>
        <w:r w:rsidR="000B7DCB">
          <w:rPr>
            <w:noProof/>
            <w:webHidden/>
          </w:rPr>
          <w:tab/>
        </w:r>
        <w:r>
          <w:rPr>
            <w:noProof/>
            <w:webHidden/>
          </w:rPr>
          <w:fldChar w:fldCharType="begin"/>
        </w:r>
        <w:r w:rsidR="000B7DCB">
          <w:rPr>
            <w:noProof/>
            <w:webHidden/>
          </w:rPr>
          <w:instrText xml:space="preserve"> PAGEREF _Toc62456429 \h </w:instrText>
        </w:r>
        <w:r>
          <w:rPr>
            <w:noProof/>
            <w:webHidden/>
          </w:rPr>
        </w:r>
        <w:r>
          <w:rPr>
            <w:noProof/>
            <w:webHidden/>
          </w:rPr>
          <w:fldChar w:fldCharType="separate"/>
        </w:r>
        <w:r w:rsidR="000B7DCB">
          <w:rPr>
            <w:noProof/>
            <w:webHidden/>
          </w:rPr>
          <w:t>17</w:t>
        </w:r>
        <w:r>
          <w:rPr>
            <w:noProof/>
            <w:webHidden/>
          </w:rPr>
          <w:fldChar w:fldCharType="end"/>
        </w:r>
      </w:hyperlink>
    </w:p>
    <w:p w:rsidR="000B7DCB" w:rsidRDefault="00F00806">
      <w:pPr>
        <w:pStyle w:val="20"/>
        <w:tabs>
          <w:tab w:val="right" w:leader="dot" w:pos="9774"/>
        </w:tabs>
        <w:ind w:left="210"/>
        <w:rPr>
          <w:rFonts w:asciiTheme="minorHAnsi" w:eastAsiaTheme="minorEastAsia" w:hAnsiTheme="minorHAnsi" w:cstheme="minorBidi"/>
          <w:b w:val="0"/>
          <w:noProof/>
          <w:sz w:val="21"/>
        </w:rPr>
      </w:pPr>
      <w:hyperlink w:anchor="_Toc62456430" w:history="1">
        <w:r w:rsidR="000B7DCB" w:rsidRPr="00290639">
          <w:rPr>
            <w:rStyle w:val="ac"/>
            <w:noProof/>
          </w:rPr>
          <w:t>重央行公开征求意见　强化支付领域反垄断监管措施</w:t>
        </w:r>
        <w:r w:rsidR="000B7DCB">
          <w:rPr>
            <w:noProof/>
            <w:webHidden/>
          </w:rPr>
          <w:tab/>
        </w:r>
        <w:r>
          <w:rPr>
            <w:noProof/>
            <w:webHidden/>
          </w:rPr>
          <w:fldChar w:fldCharType="begin"/>
        </w:r>
        <w:r w:rsidR="000B7DCB">
          <w:rPr>
            <w:noProof/>
            <w:webHidden/>
          </w:rPr>
          <w:instrText xml:space="preserve"> PAGEREF _Toc62456430 \h </w:instrText>
        </w:r>
        <w:r>
          <w:rPr>
            <w:noProof/>
            <w:webHidden/>
          </w:rPr>
        </w:r>
        <w:r>
          <w:rPr>
            <w:noProof/>
            <w:webHidden/>
          </w:rPr>
          <w:fldChar w:fldCharType="separate"/>
        </w:r>
        <w:r w:rsidR="000B7DCB">
          <w:rPr>
            <w:noProof/>
            <w:webHidden/>
          </w:rPr>
          <w:t>17</w:t>
        </w:r>
        <w:r>
          <w:rPr>
            <w:noProof/>
            <w:webHidden/>
          </w:rPr>
          <w:fldChar w:fldCharType="end"/>
        </w:r>
      </w:hyperlink>
    </w:p>
    <w:p w:rsidR="000B7DCB" w:rsidRDefault="00F00806">
      <w:pPr>
        <w:pStyle w:val="10"/>
        <w:tabs>
          <w:tab w:val="right" w:leader="dot" w:pos="9774"/>
        </w:tabs>
        <w:rPr>
          <w:rFonts w:asciiTheme="minorHAnsi" w:eastAsiaTheme="minorEastAsia" w:hAnsiTheme="minorHAnsi" w:cstheme="minorBidi"/>
          <w:b w:val="0"/>
          <w:noProof/>
          <w:sz w:val="21"/>
        </w:rPr>
      </w:pPr>
      <w:hyperlink w:anchor="_Toc62456431" w:history="1">
        <w:r w:rsidR="000B7DCB" w:rsidRPr="00290639">
          <w:rPr>
            <w:rStyle w:val="ac"/>
            <w:noProof/>
          </w:rPr>
          <w:t>【经济解读】</w:t>
        </w:r>
        <w:r w:rsidR="000B7DCB">
          <w:rPr>
            <w:noProof/>
            <w:webHidden/>
          </w:rPr>
          <w:tab/>
        </w:r>
        <w:r>
          <w:rPr>
            <w:noProof/>
            <w:webHidden/>
          </w:rPr>
          <w:fldChar w:fldCharType="begin"/>
        </w:r>
        <w:r w:rsidR="000B7DCB">
          <w:rPr>
            <w:noProof/>
            <w:webHidden/>
          </w:rPr>
          <w:instrText xml:space="preserve"> PAGEREF _Toc62456431 \h </w:instrText>
        </w:r>
        <w:r>
          <w:rPr>
            <w:noProof/>
            <w:webHidden/>
          </w:rPr>
        </w:r>
        <w:r>
          <w:rPr>
            <w:noProof/>
            <w:webHidden/>
          </w:rPr>
          <w:fldChar w:fldCharType="separate"/>
        </w:r>
        <w:r w:rsidR="000B7DCB">
          <w:rPr>
            <w:noProof/>
            <w:webHidden/>
          </w:rPr>
          <w:t>18</w:t>
        </w:r>
        <w:r>
          <w:rPr>
            <w:noProof/>
            <w:webHidden/>
          </w:rPr>
          <w:fldChar w:fldCharType="end"/>
        </w:r>
      </w:hyperlink>
    </w:p>
    <w:p w:rsidR="000B7DCB" w:rsidRDefault="00F00806">
      <w:pPr>
        <w:pStyle w:val="20"/>
        <w:tabs>
          <w:tab w:val="right" w:leader="dot" w:pos="9774"/>
        </w:tabs>
        <w:ind w:left="210"/>
        <w:rPr>
          <w:rFonts w:asciiTheme="minorHAnsi" w:eastAsiaTheme="minorEastAsia" w:hAnsiTheme="minorHAnsi" w:cstheme="minorBidi"/>
          <w:b w:val="0"/>
          <w:noProof/>
          <w:sz w:val="21"/>
        </w:rPr>
      </w:pPr>
      <w:hyperlink w:anchor="_Toc62456432" w:history="1">
        <w:r w:rsidR="000B7DCB" w:rsidRPr="00290639">
          <w:rPr>
            <w:rStyle w:val="ac"/>
            <w:noProof/>
          </w:rPr>
          <w:t>中国经济年报飘红彰显中外共赢合力</w:t>
        </w:r>
        <w:r w:rsidR="000B7DCB">
          <w:rPr>
            <w:noProof/>
            <w:webHidden/>
          </w:rPr>
          <w:tab/>
        </w:r>
        <w:r>
          <w:rPr>
            <w:noProof/>
            <w:webHidden/>
          </w:rPr>
          <w:fldChar w:fldCharType="begin"/>
        </w:r>
        <w:r w:rsidR="000B7DCB">
          <w:rPr>
            <w:noProof/>
            <w:webHidden/>
          </w:rPr>
          <w:instrText xml:space="preserve"> PAGEREF _Toc62456432 \h </w:instrText>
        </w:r>
        <w:r>
          <w:rPr>
            <w:noProof/>
            <w:webHidden/>
          </w:rPr>
        </w:r>
        <w:r>
          <w:rPr>
            <w:noProof/>
            <w:webHidden/>
          </w:rPr>
          <w:fldChar w:fldCharType="separate"/>
        </w:r>
        <w:r w:rsidR="000B7DCB">
          <w:rPr>
            <w:noProof/>
            <w:webHidden/>
          </w:rPr>
          <w:t>18</w:t>
        </w:r>
        <w:r>
          <w:rPr>
            <w:noProof/>
            <w:webHidden/>
          </w:rPr>
          <w:fldChar w:fldCharType="end"/>
        </w:r>
      </w:hyperlink>
    </w:p>
    <w:p w:rsidR="000B7DCB" w:rsidRDefault="00F00806">
      <w:pPr>
        <w:pStyle w:val="10"/>
        <w:tabs>
          <w:tab w:val="right" w:leader="dot" w:pos="9774"/>
        </w:tabs>
        <w:rPr>
          <w:rFonts w:asciiTheme="minorHAnsi" w:eastAsiaTheme="minorEastAsia" w:hAnsiTheme="minorHAnsi" w:cstheme="minorBidi"/>
          <w:b w:val="0"/>
          <w:noProof/>
          <w:sz w:val="21"/>
        </w:rPr>
      </w:pPr>
      <w:hyperlink w:anchor="_Toc62456433" w:history="1">
        <w:r w:rsidR="000B7DCB" w:rsidRPr="00290639">
          <w:rPr>
            <w:rStyle w:val="ac"/>
            <w:noProof/>
          </w:rPr>
          <w:t>【金融市场】</w:t>
        </w:r>
        <w:r w:rsidR="000B7DCB">
          <w:rPr>
            <w:noProof/>
            <w:webHidden/>
          </w:rPr>
          <w:tab/>
        </w:r>
        <w:r>
          <w:rPr>
            <w:noProof/>
            <w:webHidden/>
          </w:rPr>
          <w:fldChar w:fldCharType="begin"/>
        </w:r>
        <w:r w:rsidR="000B7DCB">
          <w:rPr>
            <w:noProof/>
            <w:webHidden/>
          </w:rPr>
          <w:instrText xml:space="preserve"> PAGEREF _Toc62456433 \h </w:instrText>
        </w:r>
        <w:r>
          <w:rPr>
            <w:noProof/>
            <w:webHidden/>
          </w:rPr>
        </w:r>
        <w:r>
          <w:rPr>
            <w:noProof/>
            <w:webHidden/>
          </w:rPr>
          <w:fldChar w:fldCharType="separate"/>
        </w:r>
        <w:r w:rsidR="000B7DCB">
          <w:rPr>
            <w:noProof/>
            <w:webHidden/>
          </w:rPr>
          <w:t>20</w:t>
        </w:r>
        <w:r>
          <w:rPr>
            <w:noProof/>
            <w:webHidden/>
          </w:rPr>
          <w:fldChar w:fldCharType="end"/>
        </w:r>
      </w:hyperlink>
    </w:p>
    <w:p w:rsidR="000B7DCB" w:rsidRDefault="00F00806">
      <w:pPr>
        <w:pStyle w:val="20"/>
        <w:tabs>
          <w:tab w:val="right" w:leader="dot" w:pos="9774"/>
        </w:tabs>
        <w:ind w:left="210"/>
        <w:rPr>
          <w:rFonts w:asciiTheme="minorHAnsi" w:eastAsiaTheme="minorEastAsia" w:hAnsiTheme="minorHAnsi" w:cstheme="minorBidi"/>
          <w:b w:val="0"/>
          <w:noProof/>
          <w:sz w:val="21"/>
        </w:rPr>
      </w:pPr>
      <w:hyperlink w:anchor="_Toc62456434" w:history="1">
        <w:r w:rsidR="000B7DCB" w:rsidRPr="00290639">
          <w:rPr>
            <w:rStyle w:val="ac"/>
            <w:noProof/>
          </w:rPr>
          <w:t>资金创纪录井喷，券商隔空吵起来了！净流入</w:t>
        </w:r>
        <w:r w:rsidR="000B7DCB" w:rsidRPr="00290639">
          <w:rPr>
            <w:rStyle w:val="ac"/>
            <w:noProof/>
          </w:rPr>
          <w:t>2300</w:t>
        </w:r>
        <w:r w:rsidR="000B7DCB" w:rsidRPr="00290639">
          <w:rPr>
            <w:rStyle w:val="ac"/>
            <w:noProof/>
          </w:rPr>
          <w:t>多亿，南向资金抢夺港股定价权？</w:t>
        </w:r>
        <w:r w:rsidR="000B7DCB">
          <w:rPr>
            <w:noProof/>
            <w:webHidden/>
          </w:rPr>
          <w:tab/>
        </w:r>
        <w:r>
          <w:rPr>
            <w:noProof/>
            <w:webHidden/>
          </w:rPr>
          <w:fldChar w:fldCharType="begin"/>
        </w:r>
        <w:r w:rsidR="000B7DCB">
          <w:rPr>
            <w:noProof/>
            <w:webHidden/>
          </w:rPr>
          <w:instrText xml:space="preserve"> PAGEREF _Toc62456434 \h </w:instrText>
        </w:r>
        <w:r>
          <w:rPr>
            <w:noProof/>
            <w:webHidden/>
          </w:rPr>
        </w:r>
        <w:r>
          <w:rPr>
            <w:noProof/>
            <w:webHidden/>
          </w:rPr>
          <w:fldChar w:fldCharType="separate"/>
        </w:r>
        <w:r w:rsidR="000B7DCB">
          <w:rPr>
            <w:noProof/>
            <w:webHidden/>
          </w:rPr>
          <w:t>20</w:t>
        </w:r>
        <w:r>
          <w:rPr>
            <w:noProof/>
            <w:webHidden/>
          </w:rPr>
          <w:fldChar w:fldCharType="end"/>
        </w:r>
      </w:hyperlink>
    </w:p>
    <w:p w:rsidR="000B7DCB" w:rsidRDefault="00F00806">
      <w:pPr>
        <w:pStyle w:val="20"/>
        <w:tabs>
          <w:tab w:val="right" w:leader="dot" w:pos="9774"/>
        </w:tabs>
        <w:ind w:left="210"/>
        <w:rPr>
          <w:rFonts w:asciiTheme="minorHAnsi" w:eastAsiaTheme="minorEastAsia" w:hAnsiTheme="minorHAnsi" w:cstheme="minorBidi"/>
          <w:b w:val="0"/>
          <w:noProof/>
          <w:sz w:val="21"/>
        </w:rPr>
      </w:pPr>
      <w:hyperlink w:anchor="_Toc62456435" w:history="1">
        <w:r w:rsidR="000B7DCB" w:rsidRPr="00290639">
          <w:rPr>
            <w:rStyle w:val="ac"/>
            <w:noProof/>
          </w:rPr>
          <w:t>公募基金规模首超</w:t>
        </w:r>
        <w:r w:rsidR="000B7DCB" w:rsidRPr="00290639">
          <w:rPr>
            <w:rStyle w:val="ac"/>
            <w:noProof/>
          </w:rPr>
          <w:t>20</w:t>
        </w:r>
        <w:r w:rsidR="000B7DCB" w:rsidRPr="00290639">
          <w:rPr>
            <w:rStyle w:val="ac"/>
            <w:noProof/>
          </w:rPr>
          <w:t>万亿元！金牛基金</w:t>
        </w:r>
        <w:r w:rsidR="000B7DCB" w:rsidRPr="00290639">
          <w:rPr>
            <w:rStyle w:val="ac"/>
            <w:noProof/>
          </w:rPr>
          <w:t>“</w:t>
        </w:r>
        <w:r w:rsidR="000B7DCB" w:rsidRPr="00290639">
          <w:rPr>
            <w:rStyle w:val="ac"/>
            <w:noProof/>
          </w:rPr>
          <w:t>吸金力</w:t>
        </w:r>
        <w:r w:rsidR="000B7DCB" w:rsidRPr="00290639">
          <w:rPr>
            <w:rStyle w:val="ac"/>
            <w:noProof/>
          </w:rPr>
          <w:t>”</w:t>
        </w:r>
        <w:r w:rsidR="000B7DCB" w:rsidRPr="00290639">
          <w:rPr>
            <w:rStyle w:val="ac"/>
            <w:noProof/>
          </w:rPr>
          <w:t>强</w:t>
        </w:r>
        <w:r w:rsidR="000B7DCB">
          <w:rPr>
            <w:noProof/>
            <w:webHidden/>
          </w:rPr>
          <w:tab/>
        </w:r>
        <w:r>
          <w:rPr>
            <w:noProof/>
            <w:webHidden/>
          </w:rPr>
          <w:fldChar w:fldCharType="begin"/>
        </w:r>
        <w:r w:rsidR="000B7DCB">
          <w:rPr>
            <w:noProof/>
            <w:webHidden/>
          </w:rPr>
          <w:instrText xml:space="preserve"> PAGEREF _Toc62456435 \h </w:instrText>
        </w:r>
        <w:r>
          <w:rPr>
            <w:noProof/>
            <w:webHidden/>
          </w:rPr>
        </w:r>
        <w:r>
          <w:rPr>
            <w:noProof/>
            <w:webHidden/>
          </w:rPr>
          <w:fldChar w:fldCharType="separate"/>
        </w:r>
        <w:r w:rsidR="000B7DCB">
          <w:rPr>
            <w:noProof/>
            <w:webHidden/>
          </w:rPr>
          <w:t>22</w:t>
        </w:r>
        <w:r>
          <w:rPr>
            <w:noProof/>
            <w:webHidden/>
          </w:rPr>
          <w:fldChar w:fldCharType="end"/>
        </w:r>
      </w:hyperlink>
    </w:p>
    <w:p w:rsidR="000B7DCB" w:rsidRDefault="00F00806">
      <w:pPr>
        <w:pStyle w:val="20"/>
        <w:tabs>
          <w:tab w:val="right" w:leader="dot" w:pos="9774"/>
        </w:tabs>
        <w:ind w:left="210"/>
        <w:rPr>
          <w:rFonts w:asciiTheme="minorHAnsi" w:eastAsiaTheme="minorEastAsia" w:hAnsiTheme="minorHAnsi" w:cstheme="minorBidi"/>
          <w:b w:val="0"/>
          <w:noProof/>
          <w:sz w:val="21"/>
        </w:rPr>
      </w:pPr>
      <w:hyperlink w:anchor="_Toc62456436" w:history="1">
        <w:r w:rsidR="000B7DCB" w:rsidRPr="00290639">
          <w:rPr>
            <w:rStyle w:val="ac"/>
            <w:noProof/>
          </w:rPr>
          <w:t>重磅消息！证监会批准设立广州期货交易所</w:t>
        </w:r>
        <w:r w:rsidR="000B7DCB">
          <w:rPr>
            <w:noProof/>
            <w:webHidden/>
          </w:rPr>
          <w:tab/>
        </w:r>
        <w:r>
          <w:rPr>
            <w:noProof/>
            <w:webHidden/>
          </w:rPr>
          <w:fldChar w:fldCharType="begin"/>
        </w:r>
        <w:r w:rsidR="000B7DCB">
          <w:rPr>
            <w:noProof/>
            <w:webHidden/>
          </w:rPr>
          <w:instrText xml:space="preserve"> PAGEREF _Toc62456436 \h </w:instrText>
        </w:r>
        <w:r>
          <w:rPr>
            <w:noProof/>
            <w:webHidden/>
          </w:rPr>
        </w:r>
        <w:r>
          <w:rPr>
            <w:noProof/>
            <w:webHidden/>
          </w:rPr>
          <w:fldChar w:fldCharType="separate"/>
        </w:r>
        <w:r w:rsidR="000B7DCB">
          <w:rPr>
            <w:noProof/>
            <w:webHidden/>
          </w:rPr>
          <w:t>23</w:t>
        </w:r>
        <w:r>
          <w:rPr>
            <w:noProof/>
            <w:webHidden/>
          </w:rPr>
          <w:fldChar w:fldCharType="end"/>
        </w:r>
      </w:hyperlink>
    </w:p>
    <w:p w:rsidR="000B7DCB" w:rsidRDefault="00F00806">
      <w:pPr>
        <w:pStyle w:val="10"/>
        <w:tabs>
          <w:tab w:val="right" w:leader="dot" w:pos="9774"/>
        </w:tabs>
        <w:rPr>
          <w:rFonts w:asciiTheme="minorHAnsi" w:eastAsiaTheme="minorEastAsia" w:hAnsiTheme="minorHAnsi" w:cstheme="minorBidi"/>
          <w:b w:val="0"/>
          <w:noProof/>
          <w:sz w:val="21"/>
        </w:rPr>
      </w:pPr>
      <w:hyperlink w:anchor="_Toc62456437" w:history="1">
        <w:r w:rsidR="000B7DCB" w:rsidRPr="00290639">
          <w:rPr>
            <w:rStyle w:val="ac"/>
            <w:noProof/>
          </w:rPr>
          <w:t>【专家评论】</w:t>
        </w:r>
        <w:r w:rsidR="000B7DCB">
          <w:rPr>
            <w:noProof/>
            <w:webHidden/>
          </w:rPr>
          <w:tab/>
        </w:r>
        <w:r>
          <w:rPr>
            <w:noProof/>
            <w:webHidden/>
          </w:rPr>
          <w:fldChar w:fldCharType="begin"/>
        </w:r>
        <w:r w:rsidR="000B7DCB">
          <w:rPr>
            <w:noProof/>
            <w:webHidden/>
          </w:rPr>
          <w:instrText xml:space="preserve"> PAGEREF _Toc62456437 \h </w:instrText>
        </w:r>
        <w:r>
          <w:rPr>
            <w:noProof/>
            <w:webHidden/>
          </w:rPr>
        </w:r>
        <w:r>
          <w:rPr>
            <w:noProof/>
            <w:webHidden/>
          </w:rPr>
          <w:fldChar w:fldCharType="separate"/>
        </w:r>
        <w:r w:rsidR="000B7DCB">
          <w:rPr>
            <w:noProof/>
            <w:webHidden/>
          </w:rPr>
          <w:t>24</w:t>
        </w:r>
        <w:r>
          <w:rPr>
            <w:noProof/>
            <w:webHidden/>
          </w:rPr>
          <w:fldChar w:fldCharType="end"/>
        </w:r>
      </w:hyperlink>
    </w:p>
    <w:p w:rsidR="000B7DCB" w:rsidRDefault="00F00806">
      <w:pPr>
        <w:pStyle w:val="20"/>
        <w:tabs>
          <w:tab w:val="right" w:leader="dot" w:pos="9774"/>
        </w:tabs>
        <w:ind w:left="210"/>
        <w:rPr>
          <w:rFonts w:asciiTheme="minorHAnsi" w:eastAsiaTheme="minorEastAsia" w:hAnsiTheme="minorHAnsi" w:cstheme="minorBidi"/>
          <w:b w:val="0"/>
          <w:noProof/>
          <w:sz w:val="21"/>
        </w:rPr>
      </w:pPr>
      <w:hyperlink w:anchor="_Toc62456438" w:history="1">
        <w:r w:rsidR="000B7DCB" w:rsidRPr="00290639">
          <w:rPr>
            <w:rStyle w:val="ac"/>
            <w:noProof/>
          </w:rPr>
          <w:t>专访：亚投行五年实践做到了精简、廉洁和绿色</w:t>
        </w:r>
        <w:r w:rsidR="000B7DCB" w:rsidRPr="00290639">
          <w:rPr>
            <w:rStyle w:val="ac"/>
            <w:noProof/>
          </w:rPr>
          <w:t>——</w:t>
        </w:r>
        <w:r w:rsidR="000B7DCB" w:rsidRPr="00290639">
          <w:rPr>
            <w:rStyle w:val="ac"/>
            <w:noProof/>
          </w:rPr>
          <w:t>访新加坡国立大学李光耀</w:t>
        </w:r>
        <w:r w:rsidR="000B7DCB" w:rsidRPr="00290639">
          <w:rPr>
            <w:rStyle w:val="ac"/>
            <w:noProof/>
          </w:rPr>
          <w:lastRenderedPageBreak/>
          <w:t>公共政策学院副教授顾清扬</w:t>
        </w:r>
        <w:r w:rsidR="000B7DCB">
          <w:rPr>
            <w:noProof/>
            <w:webHidden/>
          </w:rPr>
          <w:tab/>
        </w:r>
        <w:r>
          <w:rPr>
            <w:noProof/>
            <w:webHidden/>
          </w:rPr>
          <w:fldChar w:fldCharType="begin"/>
        </w:r>
        <w:r w:rsidR="000B7DCB">
          <w:rPr>
            <w:noProof/>
            <w:webHidden/>
          </w:rPr>
          <w:instrText xml:space="preserve"> PAGEREF _Toc62456438 \h </w:instrText>
        </w:r>
        <w:r>
          <w:rPr>
            <w:noProof/>
            <w:webHidden/>
          </w:rPr>
        </w:r>
        <w:r>
          <w:rPr>
            <w:noProof/>
            <w:webHidden/>
          </w:rPr>
          <w:fldChar w:fldCharType="separate"/>
        </w:r>
        <w:r w:rsidR="000B7DCB">
          <w:rPr>
            <w:noProof/>
            <w:webHidden/>
          </w:rPr>
          <w:t>24</w:t>
        </w:r>
        <w:r>
          <w:rPr>
            <w:noProof/>
            <w:webHidden/>
          </w:rPr>
          <w:fldChar w:fldCharType="end"/>
        </w:r>
      </w:hyperlink>
    </w:p>
    <w:p w:rsidR="000B7DCB" w:rsidRDefault="00F00806">
      <w:pPr>
        <w:pStyle w:val="20"/>
        <w:tabs>
          <w:tab w:val="right" w:leader="dot" w:pos="9774"/>
        </w:tabs>
        <w:ind w:left="210"/>
        <w:rPr>
          <w:rFonts w:asciiTheme="minorHAnsi" w:eastAsiaTheme="minorEastAsia" w:hAnsiTheme="minorHAnsi" w:cstheme="minorBidi"/>
          <w:b w:val="0"/>
          <w:noProof/>
          <w:sz w:val="21"/>
        </w:rPr>
      </w:pPr>
      <w:hyperlink w:anchor="_Toc62456439" w:history="1">
        <w:r w:rsidR="000B7DCB" w:rsidRPr="00290639">
          <w:rPr>
            <w:rStyle w:val="ac"/>
            <w:noProof/>
          </w:rPr>
          <w:t>新加坡学者说中国经济强劲复苏将促东盟释放发展潜能</w:t>
        </w:r>
        <w:r w:rsidR="000B7DCB">
          <w:rPr>
            <w:noProof/>
            <w:webHidden/>
          </w:rPr>
          <w:tab/>
        </w:r>
        <w:r>
          <w:rPr>
            <w:noProof/>
            <w:webHidden/>
          </w:rPr>
          <w:fldChar w:fldCharType="begin"/>
        </w:r>
        <w:r w:rsidR="000B7DCB">
          <w:rPr>
            <w:noProof/>
            <w:webHidden/>
          </w:rPr>
          <w:instrText xml:space="preserve"> PAGEREF _Toc62456439 \h </w:instrText>
        </w:r>
        <w:r>
          <w:rPr>
            <w:noProof/>
            <w:webHidden/>
          </w:rPr>
        </w:r>
        <w:r>
          <w:rPr>
            <w:noProof/>
            <w:webHidden/>
          </w:rPr>
          <w:fldChar w:fldCharType="separate"/>
        </w:r>
        <w:r w:rsidR="000B7DCB">
          <w:rPr>
            <w:noProof/>
            <w:webHidden/>
          </w:rPr>
          <w:t>25</w:t>
        </w:r>
        <w:r>
          <w:rPr>
            <w:noProof/>
            <w:webHidden/>
          </w:rPr>
          <w:fldChar w:fldCharType="end"/>
        </w:r>
      </w:hyperlink>
    </w:p>
    <w:p w:rsidR="000B7DCB" w:rsidRDefault="00F00806">
      <w:pPr>
        <w:pStyle w:val="10"/>
        <w:tabs>
          <w:tab w:val="right" w:leader="dot" w:pos="9774"/>
        </w:tabs>
        <w:rPr>
          <w:rFonts w:asciiTheme="minorHAnsi" w:eastAsiaTheme="minorEastAsia" w:hAnsiTheme="minorHAnsi" w:cstheme="minorBidi"/>
          <w:b w:val="0"/>
          <w:noProof/>
          <w:sz w:val="21"/>
        </w:rPr>
      </w:pPr>
      <w:hyperlink w:anchor="_Toc62456440" w:history="1">
        <w:r w:rsidR="000B7DCB" w:rsidRPr="00290639">
          <w:rPr>
            <w:rStyle w:val="ac"/>
            <w:noProof/>
          </w:rPr>
          <w:t>【机构评论】</w:t>
        </w:r>
        <w:r w:rsidR="000B7DCB">
          <w:rPr>
            <w:noProof/>
            <w:webHidden/>
          </w:rPr>
          <w:tab/>
        </w:r>
        <w:r>
          <w:rPr>
            <w:noProof/>
            <w:webHidden/>
          </w:rPr>
          <w:fldChar w:fldCharType="begin"/>
        </w:r>
        <w:r w:rsidR="000B7DCB">
          <w:rPr>
            <w:noProof/>
            <w:webHidden/>
          </w:rPr>
          <w:instrText xml:space="preserve"> PAGEREF _Toc62456440 \h </w:instrText>
        </w:r>
        <w:r>
          <w:rPr>
            <w:noProof/>
            <w:webHidden/>
          </w:rPr>
        </w:r>
        <w:r>
          <w:rPr>
            <w:noProof/>
            <w:webHidden/>
          </w:rPr>
          <w:fldChar w:fldCharType="separate"/>
        </w:r>
        <w:r w:rsidR="000B7DCB">
          <w:rPr>
            <w:noProof/>
            <w:webHidden/>
          </w:rPr>
          <w:t>25</w:t>
        </w:r>
        <w:r>
          <w:rPr>
            <w:noProof/>
            <w:webHidden/>
          </w:rPr>
          <w:fldChar w:fldCharType="end"/>
        </w:r>
      </w:hyperlink>
    </w:p>
    <w:p w:rsidR="000B7DCB" w:rsidRDefault="00F00806">
      <w:pPr>
        <w:pStyle w:val="20"/>
        <w:tabs>
          <w:tab w:val="right" w:leader="dot" w:pos="9774"/>
        </w:tabs>
        <w:ind w:left="210"/>
        <w:rPr>
          <w:rFonts w:asciiTheme="minorHAnsi" w:eastAsiaTheme="minorEastAsia" w:hAnsiTheme="minorHAnsi" w:cstheme="minorBidi"/>
          <w:b w:val="0"/>
          <w:noProof/>
          <w:sz w:val="21"/>
        </w:rPr>
      </w:pPr>
      <w:hyperlink w:anchor="_Toc62456441" w:history="1">
        <w:r w:rsidR="000B7DCB" w:rsidRPr="00290639">
          <w:rPr>
            <w:rStyle w:val="ac"/>
            <w:noProof/>
          </w:rPr>
          <w:t>世界经济论坛报告：世界需警惕长期风险</w:t>
        </w:r>
        <w:r w:rsidR="000B7DCB">
          <w:rPr>
            <w:noProof/>
            <w:webHidden/>
          </w:rPr>
          <w:tab/>
        </w:r>
        <w:r>
          <w:rPr>
            <w:noProof/>
            <w:webHidden/>
          </w:rPr>
          <w:fldChar w:fldCharType="begin"/>
        </w:r>
        <w:r w:rsidR="000B7DCB">
          <w:rPr>
            <w:noProof/>
            <w:webHidden/>
          </w:rPr>
          <w:instrText xml:space="preserve"> PAGEREF _Toc62456441 \h </w:instrText>
        </w:r>
        <w:r>
          <w:rPr>
            <w:noProof/>
            <w:webHidden/>
          </w:rPr>
        </w:r>
        <w:r>
          <w:rPr>
            <w:noProof/>
            <w:webHidden/>
          </w:rPr>
          <w:fldChar w:fldCharType="separate"/>
        </w:r>
        <w:r w:rsidR="000B7DCB">
          <w:rPr>
            <w:noProof/>
            <w:webHidden/>
          </w:rPr>
          <w:t>25</w:t>
        </w:r>
        <w:r>
          <w:rPr>
            <w:noProof/>
            <w:webHidden/>
          </w:rPr>
          <w:fldChar w:fldCharType="end"/>
        </w:r>
      </w:hyperlink>
    </w:p>
    <w:p w:rsidR="000B7DCB" w:rsidRDefault="00F00806">
      <w:pPr>
        <w:pStyle w:val="20"/>
        <w:tabs>
          <w:tab w:val="right" w:leader="dot" w:pos="9774"/>
        </w:tabs>
        <w:ind w:left="210"/>
        <w:rPr>
          <w:rFonts w:asciiTheme="minorHAnsi" w:eastAsiaTheme="minorEastAsia" w:hAnsiTheme="minorHAnsi" w:cstheme="minorBidi"/>
          <w:b w:val="0"/>
          <w:noProof/>
          <w:sz w:val="21"/>
        </w:rPr>
      </w:pPr>
      <w:hyperlink w:anchor="_Toc62456442" w:history="1">
        <w:r w:rsidR="000B7DCB" w:rsidRPr="00290639">
          <w:rPr>
            <w:rStyle w:val="ac"/>
            <w:noProof/>
          </w:rPr>
          <w:t>美媒：中国经济强劲复苏吸引全球投资者</w:t>
        </w:r>
        <w:r w:rsidR="000B7DCB">
          <w:rPr>
            <w:noProof/>
            <w:webHidden/>
          </w:rPr>
          <w:tab/>
        </w:r>
        <w:r>
          <w:rPr>
            <w:noProof/>
            <w:webHidden/>
          </w:rPr>
          <w:fldChar w:fldCharType="begin"/>
        </w:r>
        <w:r w:rsidR="000B7DCB">
          <w:rPr>
            <w:noProof/>
            <w:webHidden/>
          </w:rPr>
          <w:instrText xml:space="preserve"> PAGEREF _Toc62456442 \h </w:instrText>
        </w:r>
        <w:r>
          <w:rPr>
            <w:noProof/>
            <w:webHidden/>
          </w:rPr>
        </w:r>
        <w:r>
          <w:rPr>
            <w:noProof/>
            <w:webHidden/>
          </w:rPr>
          <w:fldChar w:fldCharType="separate"/>
        </w:r>
        <w:r w:rsidR="000B7DCB">
          <w:rPr>
            <w:noProof/>
            <w:webHidden/>
          </w:rPr>
          <w:t>26</w:t>
        </w:r>
        <w:r>
          <w:rPr>
            <w:noProof/>
            <w:webHidden/>
          </w:rPr>
          <w:fldChar w:fldCharType="end"/>
        </w:r>
      </w:hyperlink>
    </w:p>
    <w:p w:rsidR="000B7DCB" w:rsidRDefault="00F00806">
      <w:pPr>
        <w:pStyle w:val="10"/>
        <w:tabs>
          <w:tab w:val="right" w:leader="dot" w:pos="9774"/>
        </w:tabs>
        <w:rPr>
          <w:rFonts w:asciiTheme="minorHAnsi" w:eastAsiaTheme="minorEastAsia" w:hAnsiTheme="minorHAnsi" w:cstheme="minorBidi"/>
          <w:b w:val="0"/>
          <w:noProof/>
          <w:sz w:val="21"/>
        </w:rPr>
      </w:pPr>
      <w:hyperlink w:anchor="_Toc62456443" w:history="1">
        <w:r w:rsidR="000B7DCB" w:rsidRPr="00290639">
          <w:rPr>
            <w:rStyle w:val="ac"/>
            <w:noProof/>
          </w:rPr>
          <w:t>【产业聚焦】</w:t>
        </w:r>
        <w:r w:rsidR="000B7DCB">
          <w:rPr>
            <w:noProof/>
            <w:webHidden/>
          </w:rPr>
          <w:tab/>
        </w:r>
        <w:r>
          <w:rPr>
            <w:noProof/>
            <w:webHidden/>
          </w:rPr>
          <w:fldChar w:fldCharType="begin"/>
        </w:r>
        <w:r w:rsidR="000B7DCB">
          <w:rPr>
            <w:noProof/>
            <w:webHidden/>
          </w:rPr>
          <w:instrText xml:space="preserve"> PAGEREF _Toc62456443 \h </w:instrText>
        </w:r>
        <w:r>
          <w:rPr>
            <w:noProof/>
            <w:webHidden/>
          </w:rPr>
        </w:r>
        <w:r>
          <w:rPr>
            <w:noProof/>
            <w:webHidden/>
          </w:rPr>
          <w:fldChar w:fldCharType="separate"/>
        </w:r>
        <w:r w:rsidR="000B7DCB">
          <w:rPr>
            <w:noProof/>
            <w:webHidden/>
          </w:rPr>
          <w:t>27</w:t>
        </w:r>
        <w:r>
          <w:rPr>
            <w:noProof/>
            <w:webHidden/>
          </w:rPr>
          <w:fldChar w:fldCharType="end"/>
        </w:r>
      </w:hyperlink>
    </w:p>
    <w:p w:rsidR="000B7DCB" w:rsidRDefault="00F00806">
      <w:pPr>
        <w:pStyle w:val="20"/>
        <w:tabs>
          <w:tab w:val="right" w:leader="dot" w:pos="9774"/>
        </w:tabs>
        <w:ind w:left="210"/>
        <w:rPr>
          <w:rFonts w:asciiTheme="minorHAnsi" w:eastAsiaTheme="minorEastAsia" w:hAnsiTheme="minorHAnsi" w:cstheme="minorBidi"/>
          <w:b w:val="0"/>
          <w:noProof/>
          <w:sz w:val="21"/>
        </w:rPr>
      </w:pPr>
      <w:hyperlink w:anchor="_Toc62456444" w:history="1">
        <w:r w:rsidR="000B7DCB" w:rsidRPr="00290639">
          <w:rPr>
            <w:rStyle w:val="ac"/>
            <w:noProof/>
          </w:rPr>
          <w:t>市场供不应求锂电铜箔产业新一年景气依然</w:t>
        </w:r>
        <w:r w:rsidR="000B7DCB">
          <w:rPr>
            <w:noProof/>
            <w:webHidden/>
          </w:rPr>
          <w:tab/>
        </w:r>
        <w:r>
          <w:rPr>
            <w:noProof/>
            <w:webHidden/>
          </w:rPr>
          <w:fldChar w:fldCharType="begin"/>
        </w:r>
        <w:r w:rsidR="000B7DCB">
          <w:rPr>
            <w:noProof/>
            <w:webHidden/>
          </w:rPr>
          <w:instrText xml:space="preserve"> PAGEREF _Toc62456444 \h </w:instrText>
        </w:r>
        <w:r>
          <w:rPr>
            <w:noProof/>
            <w:webHidden/>
          </w:rPr>
        </w:r>
        <w:r>
          <w:rPr>
            <w:noProof/>
            <w:webHidden/>
          </w:rPr>
          <w:fldChar w:fldCharType="separate"/>
        </w:r>
        <w:r w:rsidR="000B7DCB">
          <w:rPr>
            <w:noProof/>
            <w:webHidden/>
          </w:rPr>
          <w:t>27</w:t>
        </w:r>
        <w:r>
          <w:rPr>
            <w:noProof/>
            <w:webHidden/>
          </w:rPr>
          <w:fldChar w:fldCharType="end"/>
        </w:r>
      </w:hyperlink>
    </w:p>
    <w:p w:rsidR="000B7DCB" w:rsidRDefault="00F00806">
      <w:pPr>
        <w:pStyle w:val="20"/>
        <w:tabs>
          <w:tab w:val="right" w:leader="dot" w:pos="9774"/>
        </w:tabs>
        <w:ind w:left="210"/>
        <w:rPr>
          <w:rFonts w:asciiTheme="minorHAnsi" w:eastAsiaTheme="minorEastAsia" w:hAnsiTheme="minorHAnsi" w:cstheme="minorBidi"/>
          <w:b w:val="0"/>
          <w:noProof/>
          <w:sz w:val="21"/>
        </w:rPr>
      </w:pPr>
      <w:hyperlink w:anchor="_Toc62456445" w:history="1">
        <w:r w:rsidR="000B7DCB" w:rsidRPr="00290639">
          <w:rPr>
            <w:rStyle w:val="ac"/>
            <w:noProof/>
          </w:rPr>
          <w:t>重磅！沪深楼市调控升级，剑指假结婚假离婚买房</w:t>
        </w:r>
        <w:r w:rsidR="000B7DCB">
          <w:rPr>
            <w:noProof/>
            <w:webHidden/>
          </w:rPr>
          <w:tab/>
        </w:r>
        <w:r>
          <w:rPr>
            <w:noProof/>
            <w:webHidden/>
          </w:rPr>
          <w:fldChar w:fldCharType="begin"/>
        </w:r>
        <w:r w:rsidR="000B7DCB">
          <w:rPr>
            <w:noProof/>
            <w:webHidden/>
          </w:rPr>
          <w:instrText xml:space="preserve"> PAGEREF _Toc62456445 \h </w:instrText>
        </w:r>
        <w:r>
          <w:rPr>
            <w:noProof/>
            <w:webHidden/>
          </w:rPr>
        </w:r>
        <w:r>
          <w:rPr>
            <w:noProof/>
            <w:webHidden/>
          </w:rPr>
          <w:fldChar w:fldCharType="separate"/>
        </w:r>
        <w:r w:rsidR="000B7DCB">
          <w:rPr>
            <w:noProof/>
            <w:webHidden/>
          </w:rPr>
          <w:t>29</w:t>
        </w:r>
        <w:r>
          <w:rPr>
            <w:noProof/>
            <w:webHidden/>
          </w:rPr>
          <w:fldChar w:fldCharType="end"/>
        </w:r>
      </w:hyperlink>
    </w:p>
    <w:p w:rsidR="000B7DCB" w:rsidRDefault="00F00806">
      <w:pPr>
        <w:pStyle w:val="10"/>
        <w:tabs>
          <w:tab w:val="right" w:leader="dot" w:pos="9774"/>
        </w:tabs>
        <w:rPr>
          <w:rFonts w:asciiTheme="minorHAnsi" w:eastAsiaTheme="minorEastAsia" w:hAnsiTheme="minorHAnsi" w:cstheme="minorBidi"/>
          <w:b w:val="0"/>
          <w:noProof/>
          <w:sz w:val="21"/>
        </w:rPr>
      </w:pPr>
      <w:hyperlink w:anchor="_Toc62456446" w:history="1">
        <w:r w:rsidR="000B7DCB" w:rsidRPr="00290639">
          <w:rPr>
            <w:rStyle w:val="ac"/>
            <w:noProof/>
          </w:rPr>
          <w:t>【国际财经】</w:t>
        </w:r>
        <w:r w:rsidR="000B7DCB">
          <w:rPr>
            <w:noProof/>
            <w:webHidden/>
          </w:rPr>
          <w:tab/>
        </w:r>
        <w:r>
          <w:rPr>
            <w:noProof/>
            <w:webHidden/>
          </w:rPr>
          <w:fldChar w:fldCharType="begin"/>
        </w:r>
        <w:r w:rsidR="000B7DCB">
          <w:rPr>
            <w:noProof/>
            <w:webHidden/>
          </w:rPr>
          <w:instrText xml:space="preserve"> PAGEREF _Toc62456446 \h </w:instrText>
        </w:r>
        <w:r>
          <w:rPr>
            <w:noProof/>
            <w:webHidden/>
          </w:rPr>
        </w:r>
        <w:r>
          <w:rPr>
            <w:noProof/>
            <w:webHidden/>
          </w:rPr>
          <w:fldChar w:fldCharType="separate"/>
        </w:r>
        <w:r w:rsidR="000B7DCB">
          <w:rPr>
            <w:noProof/>
            <w:webHidden/>
          </w:rPr>
          <w:t>32</w:t>
        </w:r>
        <w:r>
          <w:rPr>
            <w:noProof/>
            <w:webHidden/>
          </w:rPr>
          <w:fldChar w:fldCharType="end"/>
        </w:r>
      </w:hyperlink>
    </w:p>
    <w:p w:rsidR="000B7DCB" w:rsidRDefault="00F00806">
      <w:pPr>
        <w:pStyle w:val="20"/>
        <w:tabs>
          <w:tab w:val="right" w:leader="dot" w:pos="9774"/>
        </w:tabs>
        <w:ind w:left="210"/>
        <w:rPr>
          <w:rFonts w:asciiTheme="minorHAnsi" w:eastAsiaTheme="minorEastAsia" w:hAnsiTheme="minorHAnsi" w:cstheme="minorBidi"/>
          <w:b w:val="0"/>
          <w:noProof/>
          <w:sz w:val="21"/>
        </w:rPr>
      </w:pPr>
      <w:hyperlink w:anchor="_Toc62456447" w:history="1">
        <w:r w:rsidR="000B7DCB" w:rsidRPr="00290639">
          <w:rPr>
            <w:rStyle w:val="ac"/>
            <w:noProof/>
          </w:rPr>
          <w:t>耶伦呼吁大规模刺激计划支持经济</w:t>
        </w:r>
        <w:r w:rsidR="000B7DCB">
          <w:rPr>
            <w:noProof/>
            <w:webHidden/>
          </w:rPr>
          <w:tab/>
        </w:r>
        <w:r>
          <w:rPr>
            <w:noProof/>
            <w:webHidden/>
          </w:rPr>
          <w:fldChar w:fldCharType="begin"/>
        </w:r>
        <w:r w:rsidR="000B7DCB">
          <w:rPr>
            <w:noProof/>
            <w:webHidden/>
          </w:rPr>
          <w:instrText xml:space="preserve"> PAGEREF _Toc62456447 \h </w:instrText>
        </w:r>
        <w:r>
          <w:rPr>
            <w:noProof/>
            <w:webHidden/>
          </w:rPr>
        </w:r>
        <w:r>
          <w:rPr>
            <w:noProof/>
            <w:webHidden/>
          </w:rPr>
          <w:fldChar w:fldCharType="separate"/>
        </w:r>
        <w:r w:rsidR="000B7DCB">
          <w:rPr>
            <w:noProof/>
            <w:webHidden/>
          </w:rPr>
          <w:t>32</w:t>
        </w:r>
        <w:r>
          <w:rPr>
            <w:noProof/>
            <w:webHidden/>
          </w:rPr>
          <w:fldChar w:fldCharType="end"/>
        </w:r>
      </w:hyperlink>
    </w:p>
    <w:p w:rsidR="000B7DCB" w:rsidRDefault="00F00806">
      <w:pPr>
        <w:pStyle w:val="20"/>
        <w:tabs>
          <w:tab w:val="right" w:leader="dot" w:pos="9774"/>
        </w:tabs>
        <w:ind w:left="210"/>
        <w:rPr>
          <w:rFonts w:asciiTheme="minorHAnsi" w:eastAsiaTheme="minorEastAsia" w:hAnsiTheme="minorHAnsi" w:cstheme="minorBidi"/>
          <w:b w:val="0"/>
          <w:noProof/>
          <w:sz w:val="21"/>
        </w:rPr>
      </w:pPr>
      <w:hyperlink w:anchor="_Toc62456448" w:history="1">
        <w:r w:rsidR="000B7DCB" w:rsidRPr="00290639">
          <w:rPr>
            <w:rStyle w:val="ac"/>
            <w:noProof/>
          </w:rPr>
          <w:t>日本央行下调</w:t>
        </w:r>
        <w:r w:rsidR="000B7DCB" w:rsidRPr="00290639">
          <w:rPr>
            <w:rStyle w:val="ac"/>
            <w:noProof/>
          </w:rPr>
          <w:t>2020</w:t>
        </w:r>
        <w:r w:rsidR="000B7DCB" w:rsidRPr="00290639">
          <w:rPr>
            <w:rStyle w:val="ac"/>
            <w:noProof/>
          </w:rPr>
          <w:t>财年经济增长预期至负</w:t>
        </w:r>
        <w:r w:rsidR="000B7DCB" w:rsidRPr="00290639">
          <w:rPr>
            <w:rStyle w:val="ac"/>
            <w:noProof/>
          </w:rPr>
          <w:t>5.6%</w:t>
        </w:r>
        <w:r w:rsidR="000B7DCB">
          <w:rPr>
            <w:noProof/>
            <w:webHidden/>
          </w:rPr>
          <w:tab/>
        </w:r>
        <w:r>
          <w:rPr>
            <w:noProof/>
            <w:webHidden/>
          </w:rPr>
          <w:fldChar w:fldCharType="begin"/>
        </w:r>
        <w:r w:rsidR="000B7DCB">
          <w:rPr>
            <w:noProof/>
            <w:webHidden/>
          </w:rPr>
          <w:instrText xml:space="preserve"> PAGEREF _Toc62456448 \h </w:instrText>
        </w:r>
        <w:r>
          <w:rPr>
            <w:noProof/>
            <w:webHidden/>
          </w:rPr>
        </w:r>
        <w:r>
          <w:rPr>
            <w:noProof/>
            <w:webHidden/>
          </w:rPr>
          <w:fldChar w:fldCharType="separate"/>
        </w:r>
        <w:r w:rsidR="000B7DCB">
          <w:rPr>
            <w:noProof/>
            <w:webHidden/>
          </w:rPr>
          <w:t>34</w:t>
        </w:r>
        <w:r>
          <w:rPr>
            <w:noProof/>
            <w:webHidden/>
          </w:rPr>
          <w:fldChar w:fldCharType="end"/>
        </w:r>
      </w:hyperlink>
    </w:p>
    <w:p w:rsidR="000B7DCB" w:rsidRDefault="00F00806">
      <w:pPr>
        <w:pStyle w:val="20"/>
        <w:tabs>
          <w:tab w:val="right" w:leader="dot" w:pos="9774"/>
        </w:tabs>
        <w:ind w:left="210"/>
        <w:rPr>
          <w:rFonts w:asciiTheme="minorHAnsi" w:eastAsiaTheme="minorEastAsia" w:hAnsiTheme="minorHAnsi" w:cstheme="minorBidi"/>
          <w:b w:val="0"/>
          <w:noProof/>
          <w:sz w:val="21"/>
        </w:rPr>
      </w:pPr>
      <w:hyperlink w:anchor="_Toc62456449" w:history="1">
        <w:r w:rsidR="000B7DCB" w:rsidRPr="00290639">
          <w:rPr>
            <w:rStyle w:val="ac"/>
            <w:noProof/>
          </w:rPr>
          <w:t>欧洲央行继续实施一揽子宽松货币政策</w:t>
        </w:r>
        <w:r w:rsidR="000B7DCB">
          <w:rPr>
            <w:noProof/>
            <w:webHidden/>
          </w:rPr>
          <w:tab/>
        </w:r>
        <w:r>
          <w:rPr>
            <w:noProof/>
            <w:webHidden/>
          </w:rPr>
          <w:fldChar w:fldCharType="begin"/>
        </w:r>
        <w:r w:rsidR="000B7DCB">
          <w:rPr>
            <w:noProof/>
            <w:webHidden/>
          </w:rPr>
          <w:instrText xml:space="preserve"> PAGEREF _Toc62456449 \h </w:instrText>
        </w:r>
        <w:r>
          <w:rPr>
            <w:noProof/>
            <w:webHidden/>
          </w:rPr>
        </w:r>
        <w:r>
          <w:rPr>
            <w:noProof/>
            <w:webHidden/>
          </w:rPr>
          <w:fldChar w:fldCharType="separate"/>
        </w:r>
        <w:r w:rsidR="000B7DCB">
          <w:rPr>
            <w:noProof/>
            <w:webHidden/>
          </w:rPr>
          <w:t>34</w:t>
        </w:r>
        <w:r>
          <w:rPr>
            <w:noProof/>
            <w:webHidden/>
          </w:rPr>
          <w:fldChar w:fldCharType="end"/>
        </w:r>
      </w:hyperlink>
    </w:p>
    <w:p w:rsidR="000B7DCB" w:rsidRDefault="00F00806">
      <w:pPr>
        <w:pStyle w:val="20"/>
        <w:tabs>
          <w:tab w:val="right" w:leader="dot" w:pos="9774"/>
        </w:tabs>
        <w:ind w:left="210"/>
        <w:rPr>
          <w:rFonts w:asciiTheme="minorHAnsi" w:eastAsiaTheme="minorEastAsia" w:hAnsiTheme="minorHAnsi" w:cstheme="minorBidi"/>
          <w:b w:val="0"/>
          <w:noProof/>
          <w:sz w:val="21"/>
        </w:rPr>
      </w:pPr>
      <w:hyperlink w:anchor="_Toc62456450" w:history="1">
        <w:r w:rsidR="000B7DCB" w:rsidRPr="00290639">
          <w:rPr>
            <w:rStyle w:val="ac"/>
            <w:noProof/>
          </w:rPr>
          <w:t>拉加经委会估计</w:t>
        </w:r>
        <w:r w:rsidR="000B7DCB" w:rsidRPr="00290639">
          <w:rPr>
            <w:rStyle w:val="ac"/>
            <w:noProof/>
          </w:rPr>
          <w:t>2020</w:t>
        </w:r>
        <w:r w:rsidR="000B7DCB" w:rsidRPr="00290639">
          <w:rPr>
            <w:rStyle w:val="ac"/>
            <w:noProof/>
          </w:rPr>
          <w:t>年该地区对华出口额增长</w:t>
        </w:r>
        <w:r w:rsidR="000B7DCB" w:rsidRPr="00290639">
          <w:rPr>
            <w:rStyle w:val="ac"/>
            <w:noProof/>
          </w:rPr>
          <w:t>2%</w:t>
        </w:r>
        <w:r w:rsidR="000B7DCB">
          <w:rPr>
            <w:noProof/>
            <w:webHidden/>
          </w:rPr>
          <w:tab/>
        </w:r>
        <w:r>
          <w:rPr>
            <w:noProof/>
            <w:webHidden/>
          </w:rPr>
          <w:fldChar w:fldCharType="begin"/>
        </w:r>
        <w:r w:rsidR="000B7DCB">
          <w:rPr>
            <w:noProof/>
            <w:webHidden/>
          </w:rPr>
          <w:instrText xml:space="preserve"> PAGEREF _Toc62456450 \h </w:instrText>
        </w:r>
        <w:r>
          <w:rPr>
            <w:noProof/>
            <w:webHidden/>
          </w:rPr>
        </w:r>
        <w:r>
          <w:rPr>
            <w:noProof/>
            <w:webHidden/>
          </w:rPr>
          <w:fldChar w:fldCharType="separate"/>
        </w:r>
        <w:r w:rsidR="000B7DCB">
          <w:rPr>
            <w:noProof/>
            <w:webHidden/>
          </w:rPr>
          <w:t>35</w:t>
        </w:r>
        <w:r>
          <w:rPr>
            <w:noProof/>
            <w:webHidden/>
          </w:rPr>
          <w:fldChar w:fldCharType="end"/>
        </w:r>
      </w:hyperlink>
    </w:p>
    <w:p w:rsidR="000B7DCB" w:rsidRDefault="00F00806">
      <w:pPr>
        <w:pStyle w:val="10"/>
        <w:tabs>
          <w:tab w:val="right" w:leader="dot" w:pos="9774"/>
        </w:tabs>
        <w:rPr>
          <w:rFonts w:asciiTheme="minorHAnsi" w:eastAsiaTheme="minorEastAsia" w:hAnsiTheme="minorHAnsi" w:cstheme="minorBidi"/>
          <w:b w:val="0"/>
          <w:noProof/>
          <w:sz w:val="21"/>
        </w:rPr>
      </w:pPr>
      <w:hyperlink w:anchor="_Toc62456451" w:history="1">
        <w:r w:rsidR="000B7DCB" w:rsidRPr="00290639">
          <w:rPr>
            <w:rStyle w:val="ac"/>
            <w:noProof/>
          </w:rPr>
          <w:t>【中国经济简讯】</w:t>
        </w:r>
        <w:r w:rsidR="000B7DCB">
          <w:rPr>
            <w:noProof/>
            <w:webHidden/>
          </w:rPr>
          <w:tab/>
        </w:r>
        <w:r>
          <w:rPr>
            <w:noProof/>
            <w:webHidden/>
          </w:rPr>
          <w:fldChar w:fldCharType="begin"/>
        </w:r>
        <w:r w:rsidR="000B7DCB">
          <w:rPr>
            <w:noProof/>
            <w:webHidden/>
          </w:rPr>
          <w:instrText xml:space="preserve"> PAGEREF _Toc62456451 \h </w:instrText>
        </w:r>
        <w:r>
          <w:rPr>
            <w:noProof/>
            <w:webHidden/>
          </w:rPr>
        </w:r>
        <w:r>
          <w:rPr>
            <w:noProof/>
            <w:webHidden/>
          </w:rPr>
          <w:fldChar w:fldCharType="separate"/>
        </w:r>
        <w:r w:rsidR="000B7DCB">
          <w:rPr>
            <w:noProof/>
            <w:webHidden/>
          </w:rPr>
          <w:t>35</w:t>
        </w:r>
        <w:r>
          <w:rPr>
            <w:noProof/>
            <w:webHidden/>
          </w:rPr>
          <w:fldChar w:fldCharType="end"/>
        </w:r>
      </w:hyperlink>
    </w:p>
    <w:p w:rsidR="000B7DCB" w:rsidRDefault="00F00806">
      <w:pPr>
        <w:pStyle w:val="10"/>
        <w:tabs>
          <w:tab w:val="right" w:leader="dot" w:pos="9774"/>
        </w:tabs>
        <w:rPr>
          <w:rFonts w:asciiTheme="minorHAnsi" w:eastAsiaTheme="minorEastAsia" w:hAnsiTheme="minorHAnsi" w:cstheme="minorBidi"/>
          <w:b w:val="0"/>
          <w:noProof/>
          <w:sz w:val="21"/>
        </w:rPr>
      </w:pPr>
      <w:hyperlink w:anchor="_Toc62456452" w:history="1">
        <w:r w:rsidR="000B7DCB" w:rsidRPr="00290639">
          <w:rPr>
            <w:rStyle w:val="ac"/>
            <w:noProof/>
          </w:rPr>
          <w:t>【国际经济简讯】</w:t>
        </w:r>
        <w:r w:rsidR="000B7DCB">
          <w:rPr>
            <w:noProof/>
            <w:webHidden/>
          </w:rPr>
          <w:tab/>
        </w:r>
        <w:r>
          <w:rPr>
            <w:noProof/>
            <w:webHidden/>
          </w:rPr>
          <w:fldChar w:fldCharType="begin"/>
        </w:r>
        <w:r w:rsidR="000B7DCB">
          <w:rPr>
            <w:noProof/>
            <w:webHidden/>
          </w:rPr>
          <w:instrText xml:space="preserve"> PAGEREF _Toc62456452 \h </w:instrText>
        </w:r>
        <w:r>
          <w:rPr>
            <w:noProof/>
            <w:webHidden/>
          </w:rPr>
        </w:r>
        <w:r>
          <w:rPr>
            <w:noProof/>
            <w:webHidden/>
          </w:rPr>
          <w:fldChar w:fldCharType="separate"/>
        </w:r>
        <w:r w:rsidR="000B7DCB">
          <w:rPr>
            <w:noProof/>
            <w:webHidden/>
          </w:rPr>
          <w:t>37</w:t>
        </w:r>
        <w:r>
          <w:rPr>
            <w:noProof/>
            <w:webHidden/>
          </w:rPr>
          <w:fldChar w:fldCharType="end"/>
        </w:r>
      </w:hyperlink>
    </w:p>
    <w:p w:rsidR="000B7DCB" w:rsidRDefault="00F00806">
      <w:pPr>
        <w:pStyle w:val="10"/>
        <w:tabs>
          <w:tab w:val="right" w:leader="dot" w:pos="9774"/>
        </w:tabs>
        <w:rPr>
          <w:rFonts w:asciiTheme="minorHAnsi" w:eastAsiaTheme="minorEastAsia" w:hAnsiTheme="minorHAnsi" w:cstheme="minorBidi"/>
          <w:b w:val="0"/>
          <w:noProof/>
          <w:sz w:val="21"/>
        </w:rPr>
      </w:pPr>
      <w:hyperlink w:anchor="_Toc62456453" w:history="1">
        <w:r w:rsidR="000B7DCB" w:rsidRPr="00290639">
          <w:rPr>
            <w:rStyle w:val="ac"/>
            <w:noProof/>
          </w:rPr>
          <w:t>【本周关注】</w:t>
        </w:r>
        <w:r w:rsidR="000B7DCB">
          <w:rPr>
            <w:noProof/>
            <w:webHidden/>
          </w:rPr>
          <w:tab/>
        </w:r>
        <w:r>
          <w:rPr>
            <w:noProof/>
            <w:webHidden/>
          </w:rPr>
          <w:fldChar w:fldCharType="begin"/>
        </w:r>
        <w:r w:rsidR="000B7DCB">
          <w:rPr>
            <w:noProof/>
            <w:webHidden/>
          </w:rPr>
          <w:instrText xml:space="preserve"> PAGEREF _Toc62456453 \h </w:instrText>
        </w:r>
        <w:r>
          <w:rPr>
            <w:noProof/>
            <w:webHidden/>
          </w:rPr>
        </w:r>
        <w:r>
          <w:rPr>
            <w:noProof/>
            <w:webHidden/>
          </w:rPr>
          <w:fldChar w:fldCharType="separate"/>
        </w:r>
        <w:r w:rsidR="000B7DCB">
          <w:rPr>
            <w:noProof/>
            <w:webHidden/>
          </w:rPr>
          <w:t>38</w:t>
        </w:r>
        <w:r>
          <w:rPr>
            <w:noProof/>
            <w:webHidden/>
          </w:rPr>
          <w:fldChar w:fldCharType="end"/>
        </w:r>
      </w:hyperlink>
    </w:p>
    <w:p w:rsidR="00425B93" w:rsidRDefault="00F00806" w:rsidP="00BA06FA">
      <w:pPr>
        <w:spacing w:beforeLines="50" w:afterLines="50"/>
        <w:jc w:val="center"/>
        <w:rPr>
          <w:rFonts w:eastAsia="宋体"/>
        </w:rPr>
      </w:pPr>
      <w:r>
        <w:rPr>
          <w:rFonts w:eastAsia="宋体"/>
        </w:rPr>
        <w:fldChar w:fldCharType="end"/>
      </w:r>
    </w:p>
    <w:p w:rsidR="00425B93" w:rsidRDefault="00425B93" w:rsidP="00BA06FA">
      <w:pPr>
        <w:spacing w:beforeLines="50" w:afterLines="50"/>
        <w:rPr>
          <w:rFonts w:eastAsia="宋体"/>
        </w:rPr>
      </w:pPr>
    </w:p>
    <w:p w:rsidR="00425B93" w:rsidRDefault="00425B93" w:rsidP="00BA06FA">
      <w:pPr>
        <w:spacing w:beforeLines="50" w:afterLines="50"/>
        <w:rPr>
          <w:rFonts w:eastAsia="宋体"/>
        </w:rPr>
      </w:pPr>
    </w:p>
    <w:p w:rsidR="00425B93" w:rsidRDefault="00425B93" w:rsidP="00BA06FA">
      <w:pPr>
        <w:spacing w:beforeLines="50" w:afterLines="50"/>
        <w:rPr>
          <w:rFonts w:eastAsia="宋体"/>
        </w:rPr>
      </w:pPr>
    </w:p>
    <w:p w:rsidR="00425B93" w:rsidRDefault="008659C3">
      <w:pPr>
        <w:pStyle w:val="1"/>
        <w:spacing w:before="156" w:after="156"/>
      </w:pPr>
      <w:bookmarkStart w:id="1" w:name="_Toc156"/>
      <w:bookmarkStart w:id="2" w:name="_Toc18669451"/>
      <w:r>
        <w:br w:type="page"/>
      </w:r>
      <w:bookmarkStart w:id="3" w:name="_Toc62456416"/>
      <w:r>
        <w:rPr>
          <w:rFonts w:hint="eastAsia"/>
        </w:rPr>
        <w:lastRenderedPageBreak/>
        <w:t>【一周焦点】</w:t>
      </w:r>
      <w:bookmarkEnd w:id="1"/>
      <w:bookmarkEnd w:id="3"/>
    </w:p>
    <w:p w:rsidR="00425B93" w:rsidRDefault="00895034" w:rsidP="008659C3">
      <w:pPr>
        <w:pStyle w:val="2"/>
        <w:spacing w:before="156" w:after="156"/>
      </w:pPr>
      <w:bookmarkStart w:id="4" w:name="_Toc62456417"/>
      <w:bookmarkEnd w:id="2"/>
      <w:r w:rsidRPr="00895034">
        <w:rPr>
          <w:rFonts w:hint="eastAsia"/>
        </w:rPr>
        <w:t>中国经济站上百万亿　年度答卷彰显制度优势</w:t>
      </w:r>
      <w:bookmarkEnd w:id="4"/>
    </w:p>
    <w:p w:rsidR="004B591F" w:rsidRDefault="004B591F" w:rsidP="004B591F">
      <w:pPr>
        <w:pStyle w:val="a4"/>
        <w:spacing w:before="156" w:after="156"/>
        <w:ind w:firstLine="480"/>
        <w:rPr>
          <w:lang w:eastAsia="zh-CN"/>
        </w:rPr>
      </w:pPr>
      <w:r>
        <w:rPr>
          <w:lang w:eastAsia="zh-CN"/>
        </w:rPr>
        <w:t>1月18日，2020年中国经济年报正式出炉：国内生产总值达到101.6万亿元人民币，历史上首次突破100万亿；人均GDP连续第二年超过1万美元，进入中等偏上收入国家行列；全年经济增长2.3%，预计将成为全球唯一实现经济正增长的主要经济体。与此同时，决战脱贫攻坚取得决定性胜利，5575万农村贫困人口实现脱贫；“十三五”规划圆满收官，全面建成小康社会胜利在望……不凡的成绩单镌刻下中国经济里程碑式的伟大飞跃。</w:t>
      </w:r>
    </w:p>
    <w:p w:rsidR="004B591F" w:rsidRDefault="004B591F" w:rsidP="004B591F">
      <w:pPr>
        <w:pStyle w:val="a4"/>
        <w:spacing w:before="156" w:after="156"/>
        <w:ind w:firstLine="480"/>
        <w:rPr>
          <w:lang w:eastAsia="zh-CN"/>
        </w:rPr>
      </w:pPr>
      <w:r>
        <w:rPr>
          <w:rFonts w:hint="eastAsia"/>
          <w:lang w:eastAsia="zh-CN"/>
        </w:rPr>
        <w:t>回顾</w:t>
      </w:r>
      <w:r>
        <w:rPr>
          <w:lang w:eastAsia="zh-CN"/>
        </w:rPr>
        <w:t>2020年，极不平凡的一年，百年变局和世纪疫情交织，在中国共产党的领导下，中国经济逆势而上、破浪前行，在极不平凡之年取得了极不平凡的成就，交出了一份让人民满意、世界瞩目、可以载入史册的答卷。</w:t>
      </w:r>
    </w:p>
    <w:p w:rsidR="004B591F" w:rsidRDefault="004B591F" w:rsidP="004B591F">
      <w:pPr>
        <w:pStyle w:val="a4"/>
        <w:spacing w:before="156" w:after="156"/>
        <w:ind w:firstLine="480"/>
        <w:rPr>
          <w:lang w:eastAsia="zh-CN"/>
        </w:rPr>
      </w:pPr>
      <w:r>
        <w:rPr>
          <w:rFonts w:hint="eastAsia"/>
          <w:lang w:eastAsia="zh-CN"/>
        </w:rPr>
        <w:t>“</w:t>
      </w:r>
      <w:r>
        <w:rPr>
          <w:lang w:eastAsia="zh-CN"/>
        </w:rPr>
        <w:t>2020年国民经济稳定恢复，主要目标完成好于预期。”国家统计局局长宁吉喆1月18日国新办新闻发布会上揭晓了2020年中国经济成绩单——初步核算，全年国内生产总值1015986亿元，按可比价格计算，比上年增长2.3%。</w:t>
      </w:r>
    </w:p>
    <w:p w:rsidR="004B591F" w:rsidRDefault="004B591F" w:rsidP="004B591F">
      <w:pPr>
        <w:pStyle w:val="a4"/>
        <w:spacing w:before="156" w:after="156"/>
        <w:ind w:firstLine="480"/>
        <w:rPr>
          <w:lang w:eastAsia="zh-CN"/>
        </w:rPr>
      </w:pPr>
      <w:r>
        <w:rPr>
          <w:rFonts w:hint="eastAsia"/>
          <w:lang w:eastAsia="zh-CN"/>
        </w:rPr>
        <w:t>翻看中国经济年报：</w:t>
      </w:r>
      <w:r>
        <w:rPr>
          <w:lang w:eastAsia="zh-CN"/>
        </w:rPr>
        <w:t>3月下旬，本土疫情传播基本阻断，4月中旬，规模以上企业开工率超过了90%。二季度GDP增长3.2%，由负转正。三季度增长4.9%，四季度增长6.5%。逐季回升、持续向好的数据，勾勒出疫情大考特殊之年，中国经济逆势而上、加快复苏的步伐。</w:t>
      </w:r>
    </w:p>
    <w:p w:rsidR="004B591F" w:rsidRDefault="004B591F" w:rsidP="004B591F">
      <w:pPr>
        <w:pStyle w:val="a4"/>
        <w:spacing w:before="156" w:after="156"/>
        <w:ind w:firstLine="480"/>
        <w:rPr>
          <w:lang w:eastAsia="zh-CN"/>
        </w:rPr>
      </w:pPr>
      <w:r>
        <w:rPr>
          <w:rFonts w:hint="eastAsia"/>
          <w:lang w:eastAsia="zh-CN"/>
        </w:rPr>
        <w:t>中国经济逐季回升加速度背后，跃动着经济新动能的蓬勃力量。</w:t>
      </w:r>
      <w:r>
        <w:rPr>
          <w:lang w:eastAsia="zh-CN"/>
        </w:rPr>
        <w:t>2020年，高技术制造业和装备制造业增加值分别比上年增长7.1%、6.6%，增速分别比规模以上工业快4.3、3.8个百分点；高技术产业投资增长10.6%，快于全部投资7.7个百分点；四季度限额以上单位通讯器材类、化妆品类、金银珠宝类商品零售额同比分别增长26.0%、21.2%、17.3%，分别比三季度加快16.0、7.1、5.0个百分点。</w:t>
      </w:r>
    </w:p>
    <w:p w:rsidR="004B591F" w:rsidRDefault="004B591F" w:rsidP="004B591F">
      <w:pPr>
        <w:pStyle w:val="a4"/>
        <w:spacing w:before="156" w:after="156"/>
        <w:ind w:firstLine="480"/>
        <w:rPr>
          <w:lang w:eastAsia="zh-CN"/>
        </w:rPr>
      </w:pPr>
      <w:r>
        <w:rPr>
          <w:rFonts w:hint="eastAsia"/>
          <w:lang w:eastAsia="zh-CN"/>
        </w:rPr>
        <w:t>从</w:t>
      </w:r>
      <w:r>
        <w:rPr>
          <w:lang w:eastAsia="zh-CN"/>
        </w:rPr>
        <w:t>1952年的679亿元到如今超百万亿元规模的世界第二大经济体，中国综合国力实现历史性跨越，堪称人类发展史上的奇迹。</w:t>
      </w:r>
    </w:p>
    <w:p w:rsidR="004B591F" w:rsidRDefault="004B591F" w:rsidP="004B591F">
      <w:pPr>
        <w:pStyle w:val="a4"/>
        <w:spacing w:before="156" w:after="156"/>
        <w:ind w:firstLine="480"/>
        <w:rPr>
          <w:lang w:eastAsia="zh-CN"/>
        </w:rPr>
      </w:pPr>
      <w:r>
        <w:rPr>
          <w:rFonts w:hint="eastAsia"/>
          <w:lang w:eastAsia="zh-CN"/>
        </w:rPr>
        <w:t>党的十八大以来，中国经济持续跃升。</w:t>
      </w:r>
      <w:r>
        <w:rPr>
          <w:lang w:eastAsia="zh-CN"/>
        </w:rPr>
        <w:t>2016年、2017年GDP接连越过70万亿元、80万亿元大关，2018年迈上90万亿元关口，占世界经济的比重超过16%。2020年，迈上百万亿元新的台阶，在世界经济中的份额由2019年的16.3%上升到17%左右。</w:t>
      </w:r>
    </w:p>
    <w:p w:rsidR="004B591F" w:rsidRDefault="004B591F" w:rsidP="004B591F">
      <w:pPr>
        <w:pStyle w:val="a4"/>
        <w:spacing w:before="156" w:after="156"/>
        <w:ind w:firstLine="480"/>
        <w:rPr>
          <w:lang w:eastAsia="zh-CN"/>
        </w:rPr>
      </w:pPr>
      <w:r>
        <w:rPr>
          <w:rFonts w:hint="eastAsia"/>
          <w:lang w:eastAsia="zh-CN"/>
        </w:rPr>
        <w:t>“国内生产总值已经突破了</w:t>
      </w:r>
      <w:r>
        <w:rPr>
          <w:lang w:eastAsia="zh-CN"/>
        </w:rPr>
        <w:t>100万亿元大关，这意味着我国经济实力、科技实力、综合国力又跃上一个新的大台阶。对于全面建成小康社会，开启全面建设社会主义现代化国家新征程，</w:t>
      </w:r>
      <w:r>
        <w:rPr>
          <w:lang w:eastAsia="zh-CN"/>
        </w:rPr>
        <w:lastRenderedPageBreak/>
        <w:t>都具有十分重要的标志性意义。”宁吉喆表示。</w:t>
      </w:r>
    </w:p>
    <w:p w:rsidR="004B591F" w:rsidRDefault="004B591F" w:rsidP="004B591F">
      <w:pPr>
        <w:pStyle w:val="a4"/>
        <w:spacing w:before="156" w:after="156"/>
        <w:ind w:firstLine="480"/>
        <w:rPr>
          <w:lang w:eastAsia="zh-CN"/>
        </w:rPr>
      </w:pPr>
      <w:r>
        <w:rPr>
          <w:lang w:eastAsia="zh-CN"/>
        </w:rPr>
        <w:t>2020年是脱贫攻坚决战决胜之年。宁吉喆介绍，决战脱贫攻坚取得决定性胜利。现行标准下农村贫困人口全部脱贫，832个贫困县全部摘帽，绝对贫困现象历史性消除。</w:t>
      </w:r>
    </w:p>
    <w:p w:rsidR="004B591F" w:rsidRDefault="004B591F" w:rsidP="004B591F">
      <w:pPr>
        <w:pStyle w:val="a4"/>
        <w:spacing w:before="156" w:after="156"/>
        <w:ind w:firstLine="480"/>
        <w:rPr>
          <w:lang w:eastAsia="zh-CN"/>
        </w:rPr>
      </w:pPr>
      <w:r>
        <w:rPr>
          <w:lang w:eastAsia="zh-CN"/>
        </w:rPr>
        <w:t>2020年也是“十三五”规划收官之年。“十三五”规划主要目标任务已经完成。重大工程项目基本完成，我国经济实力、科技实力、综合国力跃上新的大台阶。全面建成小康社会取得伟大历史性成就。</w:t>
      </w:r>
    </w:p>
    <w:p w:rsidR="004B591F" w:rsidRDefault="004B591F" w:rsidP="004B591F">
      <w:pPr>
        <w:pStyle w:val="a4"/>
        <w:spacing w:before="156" w:after="156"/>
        <w:ind w:firstLine="480"/>
        <w:rPr>
          <w:lang w:eastAsia="zh-CN"/>
        </w:rPr>
      </w:pPr>
      <w:r>
        <w:rPr>
          <w:rFonts w:hint="eastAsia"/>
          <w:lang w:eastAsia="zh-CN"/>
        </w:rPr>
        <w:t>百年征程波澜壮阔，百年初心历久弥坚。发展为了人民、发展依靠人民、发展成果由人民共享。过去五年，人民生活水平显著提高，城镇新增就业五年超过</w:t>
      </w:r>
      <w:r>
        <w:rPr>
          <w:lang w:eastAsia="zh-CN"/>
        </w:rPr>
        <w:t>6000万人，已建成世界上规模最大的社会保障体系，基本医疗保障覆盖超过13亿人，基本养老保障覆盖近10亿人。</w:t>
      </w:r>
    </w:p>
    <w:p w:rsidR="004B591F" w:rsidRDefault="004B591F" w:rsidP="004B591F">
      <w:pPr>
        <w:pStyle w:val="a4"/>
        <w:spacing w:before="156" w:after="156"/>
        <w:ind w:firstLine="480"/>
        <w:rPr>
          <w:lang w:eastAsia="zh-CN"/>
        </w:rPr>
      </w:pPr>
      <w:r>
        <w:rPr>
          <w:rFonts w:hint="eastAsia"/>
          <w:lang w:eastAsia="zh-CN"/>
        </w:rPr>
        <w:t>这些成绩是在新冠肺炎疫情肆虐全球、世界经济陷入严重衰退、外部环境更加复杂严峻的情况下取得的，来之不易，成之惟艰。</w:t>
      </w:r>
    </w:p>
    <w:p w:rsidR="004B591F" w:rsidRDefault="004B591F" w:rsidP="004B591F">
      <w:pPr>
        <w:pStyle w:val="a4"/>
        <w:spacing w:before="156" w:after="156"/>
        <w:ind w:firstLine="480"/>
        <w:rPr>
          <w:lang w:eastAsia="zh-CN"/>
        </w:rPr>
      </w:pPr>
      <w:r>
        <w:rPr>
          <w:rFonts w:hint="eastAsia"/>
          <w:lang w:eastAsia="zh-CN"/>
        </w:rPr>
        <w:t>面对疫情冲击，准确识变、科学应变、主动求变。我国实施了一揽子强有力的对冲政策，对稳定经济基本盘形成了强大支撑。扎实做好“六稳”工作，全面落实“六保”任务……率先控制住疫情，率先复工复产，率先实现经济正增长，成为疫情阴霾下全球经济的一抹亮色，成为世界经济复苏的火车头。</w:t>
      </w:r>
    </w:p>
    <w:p w:rsidR="004B591F" w:rsidRDefault="004B591F" w:rsidP="004B591F">
      <w:pPr>
        <w:pStyle w:val="a4"/>
        <w:spacing w:before="156" w:after="156"/>
        <w:ind w:firstLine="480"/>
        <w:rPr>
          <w:lang w:eastAsia="zh-CN"/>
        </w:rPr>
      </w:pPr>
      <w:r>
        <w:rPr>
          <w:rFonts w:hint="eastAsia"/>
          <w:lang w:eastAsia="zh-CN"/>
        </w:rPr>
        <w:t>这是一份了不起的成绩，也是一份高含金量的成绩。“创新的第一动力持续增强”“协调内生的特点日益凸显”“绿色发展的底色相当亮丽”“开放必由之路十分开阔”“共享根本目的更加鲜明”……中国经济高质量发展之路更加坚实。</w:t>
      </w:r>
    </w:p>
    <w:p w:rsidR="004B591F" w:rsidRDefault="004B591F" w:rsidP="004B591F">
      <w:pPr>
        <w:pStyle w:val="a4"/>
        <w:spacing w:before="156" w:after="156"/>
        <w:ind w:firstLine="480"/>
        <w:rPr>
          <w:lang w:eastAsia="zh-CN"/>
        </w:rPr>
      </w:pPr>
      <w:r>
        <w:rPr>
          <w:rFonts w:hint="eastAsia"/>
          <w:lang w:eastAsia="zh-CN"/>
        </w:rPr>
        <w:t>中国经济为什么行？于危机中育新机，于变局中开新局。一系列新进展、新变化，彰显党中央坚强领导、科学决策，彰显中国特色社会主义制度优势和亿万人民创造伟力。</w:t>
      </w:r>
    </w:p>
    <w:p w:rsidR="004B591F" w:rsidRDefault="004B591F" w:rsidP="004B591F">
      <w:pPr>
        <w:pStyle w:val="a4"/>
        <w:spacing w:before="156" w:after="156"/>
        <w:ind w:firstLine="480"/>
        <w:rPr>
          <w:lang w:eastAsia="zh-CN"/>
        </w:rPr>
      </w:pPr>
      <w:r>
        <w:rPr>
          <w:rFonts w:hint="eastAsia"/>
          <w:lang w:eastAsia="zh-CN"/>
        </w:rPr>
        <w:t>“党的坚强领导、显著的制度优势是经济行稳致远、社会安定的根本保证。党中央高瞻远瞩、统揽全局的驾驭能力，中国特色社会主义能够集中力量办大事的制度优势，日臻成熟的经济治理能力，精准有效的宏观调控政策，是统筹疫情防控和经济社会发展不断取得成效的制胜法宝。”宁吉喆指出。</w:t>
      </w:r>
    </w:p>
    <w:p w:rsidR="004B591F" w:rsidRDefault="004B591F" w:rsidP="004B591F">
      <w:pPr>
        <w:pStyle w:val="a4"/>
        <w:spacing w:before="156" w:after="156"/>
        <w:ind w:firstLine="480"/>
        <w:rPr>
          <w:lang w:eastAsia="zh-CN"/>
        </w:rPr>
      </w:pPr>
      <w:r>
        <w:rPr>
          <w:rFonts w:hint="eastAsia"/>
          <w:lang w:eastAsia="zh-CN"/>
        </w:rPr>
        <w:t>奋斗百年路，启航新征程。中国经济规模站上百万亿，这是里程碑，更是新起点。党的十九届五中全会擘画了未来</w:t>
      </w:r>
      <w:r>
        <w:rPr>
          <w:lang w:eastAsia="zh-CN"/>
        </w:rPr>
        <w:t>5年和15年的发展蓝图。</w:t>
      </w:r>
    </w:p>
    <w:p w:rsidR="004B591F" w:rsidRDefault="004B591F" w:rsidP="004B591F">
      <w:pPr>
        <w:pStyle w:val="a4"/>
        <w:spacing w:before="156" w:after="156"/>
        <w:ind w:firstLine="480"/>
        <w:rPr>
          <w:lang w:eastAsia="zh-CN"/>
        </w:rPr>
      </w:pPr>
      <w:r>
        <w:rPr>
          <w:rFonts w:hint="eastAsia"/>
          <w:lang w:eastAsia="zh-CN"/>
        </w:rPr>
        <w:t>“</w:t>
      </w:r>
      <w:r>
        <w:rPr>
          <w:lang w:eastAsia="zh-CN"/>
        </w:rPr>
        <w:t>2021年是‘十四五’规划的第一年，‘十四五’规划的主题就是推动高质量发展。”展望2021年，宁吉喆表示，将更加精准有效实施财政、货币、就业、投资、消费、区域、产业等</w:t>
      </w:r>
      <w:r>
        <w:rPr>
          <w:lang w:eastAsia="zh-CN"/>
        </w:rPr>
        <w:lastRenderedPageBreak/>
        <w:t>政策，克服前进道路上的困难和问题，把经济运行保持在合理的区间，实现中国经济的持续健康发展。</w:t>
      </w:r>
    </w:p>
    <w:p w:rsidR="00895034" w:rsidRPr="00895034" w:rsidRDefault="004B591F" w:rsidP="004B591F">
      <w:pPr>
        <w:pStyle w:val="a4"/>
        <w:spacing w:before="156" w:after="156"/>
        <w:ind w:firstLine="480"/>
        <w:rPr>
          <w:lang w:eastAsia="zh-CN"/>
        </w:rPr>
      </w:pPr>
      <w:r>
        <w:rPr>
          <w:rFonts w:hint="eastAsia"/>
          <w:lang w:eastAsia="zh-CN"/>
        </w:rPr>
        <w:t>一百年风雨兼程，一世纪沧桑巨变。</w:t>
      </w:r>
      <w:r>
        <w:rPr>
          <w:lang w:eastAsia="zh-CN"/>
        </w:rPr>
        <w:t>2021年是“十四五”开局之年，全面建设社会主义现代化国家新征程由此开启，中国共产党将迎来建党100周年。胸怀千秋伟业，恰是百年风华。站在新的历史关口，站上新的经济总量台阶，中国经济仍将行稳致远。在中国共产党的领导下，中国号巨轮将朝着新的一年、新的五年、新的百年扬帆起航、乘风破浪，驶向实现中华民族伟大复兴的光辉未来。</w:t>
      </w:r>
    </w:p>
    <w:p w:rsidR="00425B93" w:rsidRDefault="008659C3">
      <w:pPr>
        <w:pStyle w:val="1"/>
        <w:spacing w:before="156" w:after="156"/>
      </w:pPr>
      <w:bookmarkStart w:id="5" w:name="_Toc62456418"/>
      <w:r>
        <w:rPr>
          <w:rFonts w:hint="eastAsia"/>
        </w:rPr>
        <w:t>【经验交流】</w:t>
      </w:r>
      <w:bookmarkEnd w:id="5"/>
    </w:p>
    <w:p w:rsidR="00A42717" w:rsidRDefault="00A42717" w:rsidP="00A42717">
      <w:pPr>
        <w:pStyle w:val="2"/>
        <w:spacing w:before="156" w:after="156"/>
      </w:pPr>
      <w:bookmarkStart w:id="6" w:name="_Toc62456419"/>
      <w:r w:rsidRPr="00A42717">
        <w:rPr>
          <w:rFonts w:hint="eastAsia"/>
        </w:rPr>
        <w:t>余额突破</w:t>
      </w:r>
      <w:r w:rsidRPr="00A42717">
        <w:t>15</w:t>
      </w:r>
      <w:r w:rsidRPr="00A42717">
        <w:t>万亿元！小微企业贷款迅猛增长靠什么？</w:t>
      </w:r>
      <w:bookmarkEnd w:id="6"/>
    </w:p>
    <w:p w:rsidR="0078553C" w:rsidRDefault="0078553C" w:rsidP="0078553C">
      <w:pPr>
        <w:pStyle w:val="a4"/>
        <w:spacing w:before="156" w:after="156"/>
        <w:ind w:firstLine="480"/>
        <w:rPr>
          <w:lang w:eastAsia="zh-CN"/>
        </w:rPr>
      </w:pPr>
      <w:r>
        <w:rPr>
          <w:lang w:eastAsia="zh-CN"/>
        </w:rPr>
        <w:t>2020年末，中国普惠小微贷款余额突破15万亿元，同比增速高达30.3%，演绎出迅猛增长的上扬曲线。</w:t>
      </w:r>
    </w:p>
    <w:p w:rsidR="0078553C" w:rsidRDefault="0078553C" w:rsidP="0078553C">
      <w:pPr>
        <w:pStyle w:val="a4"/>
        <w:spacing w:before="156" w:after="156"/>
        <w:ind w:firstLine="480"/>
        <w:rPr>
          <w:lang w:eastAsia="zh-CN"/>
        </w:rPr>
      </w:pPr>
      <w:r>
        <w:rPr>
          <w:rFonts w:hint="eastAsia"/>
          <w:lang w:eastAsia="zh-CN"/>
        </w:rPr>
        <w:t>小微企业融资难，年年提及年年难，何以在</w:t>
      </w:r>
      <w:r>
        <w:rPr>
          <w:lang w:eastAsia="zh-CN"/>
        </w:rPr>
        <w:t>2020年取得突破？快速增长的背后，是精准滴灌愈加精准高效，新货币政策工具、新金融产品、新科技“利器”持续发力。</w:t>
      </w:r>
    </w:p>
    <w:p w:rsidR="0078553C" w:rsidRDefault="0078553C" w:rsidP="0078553C">
      <w:pPr>
        <w:pStyle w:val="a4"/>
        <w:spacing w:before="156" w:after="156"/>
        <w:ind w:firstLine="480"/>
        <w:rPr>
          <w:lang w:eastAsia="zh-CN"/>
        </w:rPr>
      </w:pPr>
      <w:r>
        <w:rPr>
          <w:lang w:eastAsia="zh-CN"/>
        </w:rPr>
        <w:t>30.3%的增速，不仅比上年高7.2个百分点，比2020年同期人民币贷款增速更是高出17.5个百分点。全年普惠小微贷款共支持3228万户经营主体，比上年增加524万户。</w:t>
      </w:r>
    </w:p>
    <w:p w:rsidR="0078553C" w:rsidRDefault="0078553C" w:rsidP="0078553C">
      <w:pPr>
        <w:pStyle w:val="a4"/>
        <w:spacing w:before="156" w:after="156"/>
        <w:ind w:firstLine="480"/>
        <w:rPr>
          <w:lang w:eastAsia="zh-CN"/>
        </w:rPr>
      </w:pPr>
      <w:r>
        <w:rPr>
          <w:rFonts w:hint="eastAsia"/>
          <w:lang w:eastAsia="zh-CN"/>
        </w:rPr>
        <w:t>这其中，今年新推出的两项直达实体经济的货币政策工具发挥了重要作用。普惠小微企业贷款延期支持工具和普惠小微企业信用贷款支持计划，这两大工具呈现直达性、精准性特点，运用央行的资金激励银行普惠小微企业贷款“应延尽延”，大幅增加信用贷款投放。</w:t>
      </w:r>
    </w:p>
    <w:p w:rsidR="0078553C" w:rsidRDefault="0078553C" w:rsidP="0078553C">
      <w:pPr>
        <w:pStyle w:val="a4"/>
        <w:spacing w:before="156" w:after="156"/>
        <w:ind w:firstLine="480"/>
        <w:rPr>
          <w:lang w:eastAsia="zh-CN"/>
        </w:rPr>
      </w:pPr>
      <w:r>
        <w:rPr>
          <w:rFonts w:hint="eastAsia"/>
          <w:lang w:eastAsia="zh-CN"/>
        </w:rPr>
        <w:t>信用贷款虽然单笔金额通常不过数百万元，但对于众多小微企业来说，却是其突破传统抵押物门槛，获得融资的重要渠道。</w:t>
      </w:r>
    </w:p>
    <w:p w:rsidR="0078553C" w:rsidRDefault="0078553C" w:rsidP="0078553C">
      <w:pPr>
        <w:pStyle w:val="a4"/>
        <w:spacing w:before="156" w:after="156"/>
        <w:ind w:firstLine="480"/>
        <w:rPr>
          <w:lang w:eastAsia="zh-CN"/>
        </w:rPr>
      </w:pPr>
      <w:r>
        <w:rPr>
          <w:rFonts w:hint="eastAsia"/>
          <w:lang w:eastAsia="zh-CN"/>
        </w:rPr>
        <w:t>记者调研了解到，信用贷款审批并不以房产等传统的抵押物为前提，税收、销售情况、应收账款、支付员工工资、发明专利、知识产权、商标权、人才等都可能成为贷款审批的条件。</w:t>
      </w:r>
    </w:p>
    <w:p w:rsidR="0078553C" w:rsidRDefault="0078553C" w:rsidP="0078553C">
      <w:pPr>
        <w:pStyle w:val="a4"/>
        <w:spacing w:before="156" w:after="156"/>
        <w:ind w:firstLine="480"/>
        <w:rPr>
          <w:lang w:eastAsia="zh-CN"/>
        </w:rPr>
      </w:pPr>
      <w:r>
        <w:rPr>
          <w:rFonts w:hint="eastAsia"/>
          <w:lang w:eastAsia="zh-CN"/>
        </w:rPr>
        <w:t>据统计，</w:t>
      </w:r>
      <w:r>
        <w:rPr>
          <w:lang w:eastAsia="zh-CN"/>
        </w:rPr>
        <w:t>2020年全年银行业累计发放普惠小微信用贷款3.9万亿元，同比增加1.6万亿元。</w:t>
      </w:r>
    </w:p>
    <w:p w:rsidR="0078553C" w:rsidRDefault="0078553C" w:rsidP="0078553C">
      <w:pPr>
        <w:pStyle w:val="a4"/>
        <w:spacing w:before="156" w:after="156"/>
        <w:ind w:firstLine="480"/>
        <w:rPr>
          <w:lang w:eastAsia="zh-CN"/>
        </w:rPr>
      </w:pPr>
      <w:r>
        <w:rPr>
          <w:rFonts w:hint="eastAsia"/>
          <w:lang w:eastAsia="zh-CN"/>
        </w:rPr>
        <w:t>在政策突破下，小微企业“首贷户”群体不断壮大。“公司成立</w:t>
      </w:r>
      <w:r>
        <w:rPr>
          <w:lang w:eastAsia="zh-CN"/>
        </w:rPr>
        <w:t>11年多，在2020年拿到第一笔贷款。”北京九州汉邦物流有限责任公司董事长刘保泽说。这家从事物流的企业在多年申请贷款未果后，去年顺利获得150万元信用贷款。</w:t>
      </w:r>
    </w:p>
    <w:p w:rsidR="0078553C" w:rsidRDefault="0078553C" w:rsidP="0078553C">
      <w:pPr>
        <w:pStyle w:val="a4"/>
        <w:spacing w:before="156" w:after="156"/>
        <w:ind w:firstLine="480"/>
        <w:rPr>
          <w:lang w:eastAsia="zh-CN"/>
        </w:rPr>
      </w:pPr>
      <w:r>
        <w:rPr>
          <w:lang w:eastAsia="zh-CN"/>
        </w:rPr>
        <w:t>2020年，获得首贷的小微企业比例显著提高。据统计，2020年前11个月普惠小微新增的授</w:t>
      </w:r>
      <w:r>
        <w:rPr>
          <w:lang w:eastAsia="zh-CN"/>
        </w:rPr>
        <w:lastRenderedPageBreak/>
        <w:t>信当中，首次授信户数占近40%。</w:t>
      </w:r>
    </w:p>
    <w:p w:rsidR="0078553C" w:rsidRDefault="0078553C" w:rsidP="0078553C">
      <w:pPr>
        <w:pStyle w:val="a4"/>
        <w:spacing w:before="156" w:after="156"/>
        <w:ind w:firstLine="480"/>
        <w:rPr>
          <w:lang w:eastAsia="zh-CN"/>
        </w:rPr>
      </w:pPr>
      <w:r>
        <w:rPr>
          <w:rFonts w:hint="eastAsia"/>
          <w:lang w:eastAsia="zh-CN"/>
        </w:rPr>
        <w:t>疫情冲击之下，对重点领域小微企业的精准滴灌愈加精准。设立</w:t>
      </w:r>
      <w:r>
        <w:rPr>
          <w:lang w:eastAsia="zh-CN"/>
        </w:rPr>
        <w:t>3000亿元疫情防控专项再贷款，定向支持7600多家防疫保供重点企业，其中绝大多数是中小微企业；追加5000亿元复工复产、1万亿元普惠性再贷款再贴现额度，重点支持受疫情影响较大的行业企业60多万家，绝大多数也是中小微企业。</w:t>
      </w:r>
    </w:p>
    <w:p w:rsidR="0078553C" w:rsidRDefault="0078553C" w:rsidP="0078553C">
      <w:pPr>
        <w:pStyle w:val="a4"/>
        <w:spacing w:before="156" w:after="156"/>
        <w:ind w:firstLine="480"/>
        <w:rPr>
          <w:lang w:eastAsia="zh-CN"/>
        </w:rPr>
      </w:pPr>
      <w:r>
        <w:rPr>
          <w:rFonts w:hint="eastAsia"/>
          <w:lang w:eastAsia="zh-CN"/>
        </w:rPr>
        <w:t>更加精准的投放为小微企业提供了单独的、不受挤占的“资金池”，保障了对小微企业的“小灶”供应。</w:t>
      </w:r>
    </w:p>
    <w:p w:rsidR="0078553C" w:rsidRDefault="0078553C" w:rsidP="0078553C">
      <w:pPr>
        <w:pStyle w:val="a4"/>
        <w:spacing w:before="156" w:after="156"/>
        <w:ind w:firstLine="480"/>
        <w:rPr>
          <w:lang w:eastAsia="zh-CN"/>
        </w:rPr>
      </w:pPr>
      <w:r>
        <w:rPr>
          <w:rFonts w:hint="eastAsia"/>
          <w:lang w:eastAsia="zh-CN"/>
        </w:rPr>
        <w:t>针对不同类型小微企业的特点，信贷定制化产品不断涌现。拉面贷、大棚贷、黄瓜贷、生猪贷、瞪羚科技信用贷、人才贷……各类贷款产品满足了小微企业的精细化、个性化需求。</w:t>
      </w:r>
    </w:p>
    <w:p w:rsidR="0078553C" w:rsidRDefault="0078553C" w:rsidP="0078553C">
      <w:pPr>
        <w:pStyle w:val="a4"/>
        <w:spacing w:before="156" w:after="156"/>
        <w:ind w:firstLine="480"/>
        <w:rPr>
          <w:lang w:eastAsia="zh-CN"/>
        </w:rPr>
      </w:pPr>
      <w:r>
        <w:rPr>
          <w:rFonts w:hint="eastAsia"/>
          <w:lang w:eastAsia="zh-CN"/>
        </w:rPr>
        <w:t>在科技赋能下，大数据对小微企业精准画像，使信贷流程更加智能、便捷、高效。记者在一家银行网点看到，借助大数据和信息共享，企业的产业链供应链、纳税情况、收支流水、电商平台销售等海量数据、信息都可实现瞬时汇总、共享和分析，从多维度刻画小微企业的经营全貌，为解决小微企业因点多、面广、分散、信息不对称带来的融资障碍提供解决方案。</w:t>
      </w:r>
    </w:p>
    <w:p w:rsidR="0078553C" w:rsidRDefault="0078553C" w:rsidP="0078553C">
      <w:pPr>
        <w:pStyle w:val="a4"/>
        <w:spacing w:before="156" w:after="156"/>
        <w:ind w:firstLine="480"/>
        <w:rPr>
          <w:lang w:eastAsia="zh-CN"/>
        </w:rPr>
      </w:pPr>
      <w:r>
        <w:rPr>
          <w:rFonts w:hint="eastAsia"/>
          <w:lang w:eastAsia="zh-CN"/>
        </w:rPr>
        <w:t>从各家银行开发的贷款</w:t>
      </w:r>
      <w:r>
        <w:rPr>
          <w:lang w:eastAsia="zh-CN"/>
        </w:rPr>
        <w:t>App来看，不仅能智能分析企业是否具备贷款条件，可获得的贷款额度，还能在贷后管理中实时推送风险信息。</w:t>
      </w:r>
    </w:p>
    <w:p w:rsidR="0078553C" w:rsidRDefault="0078553C" w:rsidP="0078553C">
      <w:pPr>
        <w:pStyle w:val="a4"/>
        <w:spacing w:before="156" w:after="156"/>
        <w:ind w:firstLine="480"/>
        <w:rPr>
          <w:lang w:eastAsia="zh-CN"/>
        </w:rPr>
      </w:pPr>
      <w:r>
        <w:rPr>
          <w:rFonts w:hint="eastAsia"/>
          <w:lang w:eastAsia="zh-CN"/>
        </w:rPr>
        <w:t>除了“量增”和“面扩”，“价降”是</w:t>
      </w:r>
      <w:r>
        <w:rPr>
          <w:lang w:eastAsia="zh-CN"/>
        </w:rPr>
        <w:t>2020年小微企业融资的另一个关键词。数据显示，去年12月新发放普惠小微贷款利率为5.08%，比上年同期下降0.8个百分点，推动小微企业资金成本明显下降。</w:t>
      </w:r>
    </w:p>
    <w:p w:rsidR="0078553C" w:rsidRDefault="0078553C" w:rsidP="0078553C">
      <w:pPr>
        <w:pStyle w:val="a4"/>
        <w:spacing w:before="156" w:after="156"/>
        <w:ind w:firstLine="480"/>
        <w:rPr>
          <w:lang w:eastAsia="zh-CN"/>
        </w:rPr>
      </w:pPr>
      <w:r>
        <w:rPr>
          <w:rFonts w:hint="eastAsia"/>
          <w:lang w:eastAsia="zh-CN"/>
        </w:rPr>
        <w:t>中国人民银行行长易纲近日表示，</w:t>
      </w:r>
      <w:r>
        <w:rPr>
          <w:lang w:eastAsia="zh-CN"/>
        </w:rPr>
        <w:t>2021年要发挥好货币政策工具精准滴灌作用，加大对科技创新、小微企业、绿色发展等重点任务的金融支持。</w:t>
      </w:r>
    </w:p>
    <w:p w:rsidR="00A42717" w:rsidRDefault="0078553C" w:rsidP="0078553C">
      <w:pPr>
        <w:pStyle w:val="a4"/>
        <w:spacing w:before="156" w:after="156"/>
        <w:ind w:firstLine="480"/>
        <w:rPr>
          <w:lang w:eastAsia="zh-CN"/>
        </w:rPr>
      </w:pPr>
      <w:r>
        <w:rPr>
          <w:rFonts w:hint="eastAsia"/>
          <w:lang w:eastAsia="zh-CN"/>
        </w:rPr>
        <w:t>市场期待在把握好风险的前提下，通过信贷政策精准滴灌，金融机构产品创新，更多小微企业实现首贷“破冰”，更多小微企业获得持续支持，从而更好激发市场活力。</w:t>
      </w:r>
    </w:p>
    <w:p w:rsidR="00425B93" w:rsidRDefault="008659C3">
      <w:pPr>
        <w:pStyle w:val="1"/>
        <w:spacing w:before="156" w:after="156"/>
      </w:pPr>
      <w:bookmarkStart w:id="7" w:name="_Toc62456420"/>
      <w:r>
        <w:rPr>
          <w:rFonts w:hint="eastAsia"/>
        </w:rPr>
        <w:t>【政策要闻】</w:t>
      </w:r>
      <w:bookmarkEnd w:id="7"/>
    </w:p>
    <w:p w:rsidR="00C0314E" w:rsidRDefault="00A01A15" w:rsidP="00C0314E">
      <w:pPr>
        <w:pStyle w:val="2"/>
        <w:spacing w:before="156" w:after="156"/>
      </w:pPr>
      <w:bookmarkStart w:id="8" w:name="_Toc62456421"/>
      <w:r w:rsidRPr="00A01A15">
        <w:rPr>
          <w:rFonts w:hint="eastAsia"/>
        </w:rPr>
        <w:t xml:space="preserve">重磅政策催化　</w:t>
      </w:r>
      <w:r w:rsidRPr="00A01A15">
        <w:t>3</w:t>
      </w:r>
      <w:r w:rsidRPr="00A01A15">
        <w:t>万亿银行不良处置迎机遇</w:t>
      </w:r>
      <w:bookmarkEnd w:id="8"/>
    </w:p>
    <w:p w:rsidR="00A01A15" w:rsidRDefault="00A01A15" w:rsidP="00A01A15">
      <w:pPr>
        <w:pStyle w:val="a4"/>
        <w:spacing w:before="156" w:after="156"/>
        <w:ind w:firstLine="480"/>
        <w:rPr>
          <w:lang w:eastAsia="zh-CN"/>
        </w:rPr>
      </w:pPr>
      <w:r>
        <w:rPr>
          <w:rFonts w:hint="eastAsia"/>
          <w:lang w:eastAsia="zh-CN"/>
        </w:rPr>
        <w:t>防范化解金融风险，银行不良资产处置渠道再拓宽。记者从业内机构获悉，银保监会日前发布《关于开展不良贷款转让试点工作的通知》（以下简称《通知》），正式批准单户对公不良贷款转让和个人不良贷款批量转让。此外，包括个人不良批量转让试点的业务规则、信息披露细则、公开竞价细则等配套细则将于近日落地，同时银行个人不良贷款批量转让试点会在近</w:t>
      </w:r>
      <w:r>
        <w:rPr>
          <w:rFonts w:hint="eastAsia"/>
          <w:lang w:eastAsia="zh-CN"/>
        </w:rPr>
        <w:lastRenderedPageBreak/>
        <w:t>期启动。</w:t>
      </w:r>
    </w:p>
    <w:p w:rsidR="00A01A15" w:rsidRDefault="00A01A15" w:rsidP="00A01A15">
      <w:pPr>
        <w:pStyle w:val="a4"/>
        <w:spacing w:before="156" w:after="156"/>
        <w:ind w:firstLine="480"/>
        <w:rPr>
          <w:lang w:eastAsia="zh-CN"/>
        </w:rPr>
      </w:pPr>
      <w:r>
        <w:rPr>
          <w:rFonts w:hint="eastAsia"/>
          <w:lang w:eastAsia="zh-CN"/>
        </w:rPr>
        <w:t>截至</w:t>
      </w:r>
      <w:r>
        <w:rPr>
          <w:lang w:eastAsia="zh-CN"/>
        </w:rPr>
        <w:t>2020年三季度末，我国商业银行不良贷款余额近3万亿元。业内人士表示，当前我国银行业资产质量总体良好，但考虑到当前较多银行对贷款进行延期处理以及不良贷款暴露滞后性，银行不良资产处置压力2021年还将持续存在。未来监管部门或将通过有序放开不良资产市场，针对不良资产处置实施优惠性税收政策等举措，进一步加大对银行不良资产处置的支持。</w:t>
      </w:r>
    </w:p>
    <w:p w:rsidR="00A01A15" w:rsidRPr="00A01A15" w:rsidRDefault="00A01A15" w:rsidP="00A01A15">
      <w:pPr>
        <w:pStyle w:val="a4"/>
        <w:spacing w:before="156" w:after="156"/>
        <w:ind w:firstLine="482"/>
        <w:rPr>
          <w:b/>
          <w:bCs/>
          <w:lang w:eastAsia="zh-CN"/>
        </w:rPr>
      </w:pPr>
      <w:r w:rsidRPr="00A01A15">
        <w:rPr>
          <w:rFonts w:hint="eastAsia"/>
          <w:b/>
          <w:bCs/>
          <w:lang w:eastAsia="zh-CN"/>
        </w:rPr>
        <w:t>银行不良贷款处置渠道拓宽</w:t>
      </w:r>
    </w:p>
    <w:p w:rsidR="00A01A15" w:rsidRDefault="00A01A15" w:rsidP="00A01A15">
      <w:pPr>
        <w:pStyle w:val="a4"/>
        <w:spacing w:before="156" w:after="156"/>
        <w:ind w:firstLine="480"/>
        <w:rPr>
          <w:lang w:eastAsia="zh-CN"/>
        </w:rPr>
      </w:pPr>
      <w:r>
        <w:rPr>
          <w:rFonts w:hint="eastAsia"/>
          <w:lang w:eastAsia="zh-CN"/>
        </w:rPr>
        <w:t>《通知》显示，此次参与试点的银行包括</w:t>
      </w:r>
      <w:r>
        <w:rPr>
          <w:lang w:eastAsia="zh-CN"/>
        </w:rPr>
        <w:t>6大国有银行和12家股份制银行，试点参与不良资产收购的机构包括4家金融资产管理公司、符合条件的地方资产管理公司和5家金融资产投资公司。值得注意的是，除了正式批准单户对公不良贷款转让，《通知》还“解禁”了此前批量转让个人不良贷款“禁区”，进一步扩充银行不良贷款处置渠道，缓解银行不良贷款处置压力。</w:t>
      </w:r>
    </w:p>
    <w:p w:rsidR="00A01A15" w:rsidRDefault="00A01A15" w:rsidP="00A01A15">
      <w:pPr>
        <w:pStyle w:val="a4"/>
        <w:spacing w:before="156" w:after="156"/>
        <w:ind w:firstLine="480"/>
        <w:rPr>
          <w:lang w:eastAsia="zh-CN"/>
        </w:rPr>
      </w:pPr>
      <w:r>
        <w:rPr>
          <w:rFonts w:hint="eastAsia"/>
          <w:lang w:eastAsia="zh-CN"/>
        </w:rPr>
        <w:t>早在</w:t>
      </w:r>
      <w:r>
        <w:rPr>
          <w:lang w:eastAsia="zh-CN"/>
        </w:rPr>
        <w:t>2020年6月，银保监会就在业内发布《关于开展不良贷款转让试点工作的通知（修改稿）》。与修改稿相比，《通知》对于批量个人不良贷款处置实现“一增一减”：“一增”为，对于地方资产管理公司而言，批量收购个人不良贷款也不受区域限制；“一减”为，参与试点的个人贷款范围为已经纳入不良分类的个人消费信用贷款、信用卡透支和个人经营类信用贷款为主，住房按揭贷款、汽车消费贷款被删除。</w:t>
      </w:r>
    </w:p>
    <w:p w:rsidR="00A01A15" w:rsidRDefault="00A01A15" w:rsidP="00A01A15">
      <w:pPr>
        <w:pStyle w:val="a4"/>
        <w:spacing w:before="156" w:after="156"/>
        <w:ind w:firstLine="480"/>
        <w:rPr>
          <w:lang w:eastAsia="zh-CN"/>
        </w:rPr>
      </w:pPr>
      <w:r>
        <w:rPr>
          <w:rFonts w:hint="eastAsia"/>
          <w:lang w:eastAsia="zh-CN"/>
        </w:rPr>
        <w:t>业内人士普遍认为，此次试点对于银行而言，有利于进一步丰富不良处置渠道，疏解银行不良处置的压力。一试点行信用卡部门人士对记者表示，这一政策对银行是非常大的利好，“我们当然是希望能够批量转让出去，清收压力太大了，目前具体方式正在研究中。”</w:t>
      </w:r>
    </w:p>
    <w:p w:rsidR="00A01A15" w:rsidRDefault="00A01A15" w:rsidP="00A01A15">
      <w:pPr>
        <w:pStyle w:val="a4"/>
        <w:spacing w:before="156" w:after="156"/>
        <w:ind w:firstLine="480"/>
        <w:rPr>
          <w:lang w:eastAsia="zh-CN"/>
        </w:rPr>
      </w:pPr>
      <w:r>
        <w:rPr>
          <w:rFonts w:hint="eastAsia"/>
          <w:lang w:eastAsia="zh-CN"/>
        </w:rPr>
        <w:t>中国民生银行首席研究员温彬表示，《通知》以试点方式突破了一直以来个人不良贷款不得批量转让的政策“禁区”，是监管层面对市场形势变化和金融机构诉求的积极回应，是近年来不良资产处置政策的重大变化，具有重要标志性意义，此次以“个人不良贷款批量转让”为突破口或只是开端，后续对商业银行不良资产处置政策可能进一步适度放宽。</w:t>
      </w:r>
    </w:p>
    <w:p w:rsidR="00A01A15" w:rsidRDefault="00A01A15" w:rsidP="00A01A15">
      <w:pPr>
        <w:pStyle w:val="a4"/>
        <w:spacing w:before="156" w:after="156"/>
        <w:ind w:firstLine="480"/>
        <w:rPr>
          <w:lang w:eastAsia="zh-CN"/>
        </w:rPr>
      </w:pPr>
      <w:r>
        <w:rPr>
          <w:rFonts w:hint="eastAsia"/>
          <w:lang w:eastAsia="zh-CN"/>
        </w:rPr>
        <w:t>据了解，继《通知》后，单户对公不良转让、个人不良批量转让试点的业务规则，信息披露细则，公开竞价细则等配套细则也将于近日落地。此外，银行业信贷资产登记流转中心有限公司有关人士也透露，银行个人不良贷款批量转让试点会在近期启动。</w:t>
      </w:r>
    </w:p>
    <w:p w:rsidR="00A01A15" w:rsidRPr="00A01A15" w:rsidRDefault="00A01A15" w:rsidP="00A01A15">
      <w:pPr>
        <w:pStyle w:val="a4"/>
        <w:spacing w:before="156" w:after="156"/>
        <w:ind w:firstLine="482"/>
        <w:rPr>
          <w:b/>
          <w:bCs/>
          <w:lang w:eastAsia="zh-CN"/>
        </w:rPr>
      </w:pPr>
      <w:r w:rsidRPr="00A01A15">
        <w:rPr>
          <w:b/>
          <w:bCs/>
          <w:lang w:eastAsia="zh-CN"/>
        </w:rPr>
        <w:t>2021年不良处置压力仍存</w:t>
      </w:r>
    </w:p>
    <w:p w:rsidR="00A01A15" w:rsidRDefault="00A01A15" w:rsidP="00A01A15">
      <w:pPr>
        <w:pStyle w:val="a4"/>
        <w:spacing w:before="156" w:after="156"/>
        <w:ind w:firstLine="480"/>
        <w:rPr>
          <w:lang w:eastAsia="zh-CN"/>
        </w:rPr>
      </w:pPr>
      <w:r>
        <w:rPr>
          <w:rFonts w:hint="eastAsia"/>
          <w:lang w:eastAsia="zh-CN"/>
        </w:rPr>
        <w:t>整体来看，当前我国银行业资产质量仍然保持稳健。银保监会数据显示，截至</w:t>
      </w:r>
      <w:r>
        <w:rPr>
          <w:lang w:eastAsia="zh-CN"/>
        </w:rPr>
        <w:t>2020年三季度末，商业银行不良贷款余额2.84万亿元，较上季末增加987亿元；商业银行不良贷款率1.96%，</w:t>
      </w:r>
      <w:r>
        <w:rPr>
          <w:lang w:eastAsia="zh-CN"/>
        </w:rPr>
        <w:lastRenderedPageBreak/>
        <w:t>较上季末微升0.02个百分点。</w:t>
      </w:r>
    </w:p>
    <w:p w:rsidR="00A01A15" w:rsidRDefault="00A01A15" w:rsidP="00A01A15">
      <w:pPr>
        <w:pStyle w:val="a4"/>
        <w:spacing w:before="156" w:after="156"/>
        <w:ind w:firstLine="480"/>
        <w:rPr>
          <w:lang w:eastAsia="zh-CN"/>
        </w:rPr>
      </w:pPr>
      <w:r>
        <w:rPr>
          <w:rFonts w:hint="eastAsia"/>
          <w:lang w:eastAsia="zh-CN"/>
        </w:rPr>
        <w:t>日前多个银行发布的业绩快报显示，上市银行不良贷款率整体情况保持良好。就目前已发布业绩快报的</w:t>
      </w:r>
      <w:r>
        <w:rPr>
          <w:lang w:eastAsia="zh-CN"/>
        </w:rPr>
        <w:t>5家上市银行看，兴业银行、招商银行、苏农银行、江苏银行四家银行呈现不良率下降、拨备覆盖率提升的趋势。截至2020年末，兴业银行不良率为1.25%，较2019年末下降0.29个百分点；招商银行不良率为1.07%，较2019年末下降0.09个百分点；苏农银行不良贷款率1.28%，较2019年末下降0.05个百分点。江苏银行不良贷款率1.32%，较2019年末下降0.06个百分点，连续5年下降。</w:t>
      </w:r>
    </w:p>
    <w:p w:rsidR="00A01A15" w:rsidRDefault="00A01A15" w:rsidP="00A01A15">
      <w:pPr>
        <w:pStyle w:val="a4"/>
        <w:spacing w:before="156" w:after="156"/>
        <w:ind w:firstLine="480"/>
        <w:rPr>
          <w:lang w:eastAsia="zh-CN"/>
        </w:rPr>
      </w:pPr>
      <w:r>
        <w:rPr>
          <w:rFonts w:hint="eastAsia"/>
          <w:lang w:eastAsia="zh-CN"/>
        </w:rPr>
        <w:t>不过受疫情等因素影响，也有部分银行资产质量承压，不良贷款率有所提升。上海银行不良率为</w:t>
      </w:r>
      <w:r>
        <w:rPr>
          <w:lang w:eastAsia="zh-CN"/>
        </w:rPr>
        <w:t>1.22%，较2019年末上升0.06个百分点，与2020年三季度末持平。</w:t>
      </w:r>
    </w:p>
    <w:p w:rsidR="00A01A15" w:rsidRDefault="00A01A15" w:rsidP="00A01A15">
      <w:pPr>
        <w:pStyle w:val="a4"/>
        <w:spacing w:before="156" w:after="156"/>
        <w:ind w:firstLine="480"/>
        <w:rPr>
          <w:lang w:eastAsia="zh-CN"/>
        </w:rPr>
      </w:pPr>
      <w:r>
        <w:rPr>
          <w:rFonts w:hint="eastAsia"/>
          <w:lang w:eastAsia="zh-CN"/>
        </w:rPr>
        <w:t>东方金诚金融业务部助理总经理李茜表示，近年来银行小微信贷投放规模较快增长，因此风险敞口相应增加。此外由于“普惠小微企业贷款延期支持工具”延期至</w:t>
      </w:r>
      <w:r>
        <w:rPr>
          <w:lang w:eastAsia="zh-CN"/>
        </w:rPr>
        <w:t>2021年3月31日，未来随着企业贷款的集中到期，一些不良风险或将在2021年陆续暴露，因此银行不良资产处置压力仍将持续。</w:t>
      </w:r>
    </w:p>
    <w:p w:rsidR="00A01A15" w:rsidRDefault="00A01A15" w:rsidP="00A01A15">
      <w:pPr>
        <w:pStyle w:val="a4"/>
        <w:spacing w:before="156" w:after="156"/>
        <w:ind w:firstLine="480"/>
        <w:rPr>
          <w:lang w:eastAsia="zh-CN"/>
        </w:rPr>
      </w:pPr>
      <w:r>
        <w:rPr>
          <w:rFonts w:hint="eastAsia"/>
          <w:lang w:eastAsia="zh-CN"/>
        </w:rPr>
        <w:t>除此之外，温彬认为，在防范化解金融风险要求下，监管对银行业风险排查仍将不断深入，将进一步规范不良资产认定标准，加快银行不良风险显性化，银行体系原有的“隐性不良”将进一步暴露。与此同时，目前银行业的不良资产处置能力仍显不足，影响了不良资产处置进度，因此不良资产规模仍有扩大趋势。</w:t>
      </w:r>
    </w:p>
    <w:p w:rsidR="00A01A15" w:rsidRPr="00A01A15" w:rsidRDefault="00A01A15" w:rsidP="00A01A15">
      <w:pPr>
        <w:pStyle w:val="a4"/>
        <w:spacing w:before="156" w:after="156"/>
        <w:ind w:firstLine="482"/>
        <w:rPr>
          <w:b/>
          <w:bCs/>
          <w:lang w:eastAsia="zh-CN"/>
        </w:rPr>
      </w:pPr>
      <w:r w:rsidRPr="00A01A15">
        <w:rPr>
          <w:rFonts w:hint="eastAsia"/>
          <w:b/>
          <w:bCs/>
          <w:lang w:eastAsia="zh-CN"/>
        </w:rPr>
        <w:t>不良贷款处置步伐或继续提速</w:t>
      </w:r>
    </w:p>
    <w:p w:rsidR="00A01A15" w:rsidRDefault="00A01A15" w:rsidP="00A01A15">
      <w:pPr>
        <w:pStyle w:val="a4"/>
        <w:spacing w:before="156" w:after="156"/>
        <w:ind w:firstLine="480"/>
        <w:rPr>
          <w:lang w:eastAsia="zh-CN"/>
        </w:rPr>
      </w:pPr>
      <w:r>
        <w:rPr>
          <w:rFonts w:hint="eastAsia"/>
          <w:lang w:eastAsia="zh-CN"/>
        </w:rPr>
        <w:t>为防范后续可能出现的不良攀升，银行机构已通过多种方式加大对不良资产处置力度。</w:t>
      </w:r>
    </w:p>
    <w:p w:rsidR="00A01A15" w:rsidRDefault="00A01A15" w:rsidP="00A01A15">
      <w:pPr>
        <w:pStyle w:val="a4"/>
        <w:spacing w:before="156" w:after="156"/>
        <w:ind w:firstLine="480"/>
        <w:rPr>
          <w:lang w:eastAsia="zh-CN"/>
        </w:rPr>
      </w:pPr>
      <w:r>
        <w:rPr>
          <w:rFonts w:hint="eastAsia"/>
          <w:lang w:eastAsia="zh-CN"/>
        </w:rPr>
        <w:t>证监会网站</w:t>
      </w:r>
      <w:r>
        <w:rPr>
          <w:lang w:eastAsia="zh-CN"/>
        </w:rPr>
        <w:t>1月8日披露的定向发行说明书显示，湖南东安农村商业银行、广西陆川农村商业银行、湖南沅陵农村商业银行、广东揭阳农村商业银行4家农商行在定增的同时都搭售了一定的不良贷款。4家农商行均表示，本次定向发行是为了进一步防范化解风险，补充资本充足水平，优化股权结构，增强抵御风险的能力。</w:t>
      </w:r>
    </w:p>
    <w:p w:rsidR="00A01A15" w:rsidRDefault="00A01A15" w:rsidP="00A01A15">
      <w:pPr>
        <w:pStyle w:val="a4"/>
        <w:spacing w:before="156" w:after="156"/>
        <w:ind w:firstLine="480"/>
        <w:rPr>
          <w:lang w:eastAsia="zh-CN"/>
        </w:rPr>
      </w:pPr>
      <w:r>
        <w:rPr>
          <w:rFonts w:hint="eastAsia"/>
          <w:lang w:eastAsia="zh-CN"/>
        </w:rPr>
        <w:t>金融监管部门也多次表态将进一步加快不良资产处置。银保监会有关负责人多次强调“前瞻性应对银行不良资产反弹”“真实暴露不良，足额计提拨备，加快处置速度”。央行发布的《中国金融稳定报告（</w:t>
      </w:r>
      <w:r>
        <w:rPr>
          <w:lang w:eastAsia="zh-CN"/>
        </w:rPr>
        <w:t>2020）》也表示，将支持中小金融机构多渠道补充资本、完善公司治理，加大不良贷款处置力度，增强金融机构稳健性。</w:t>
      </w:r>
    </w:p>
    <w:p w:rsidR="00A01A15" w:rsidRDefault="00A01A15" w:rsidP="00A01A15">
      <w:pPr>
        <w:pStyle w:val="a4"/>
        <w:spacing w:before="156" w:after="156"/>
        <w:ind w:firstLine="480"/>
        <w:rPr>
          <w:lang w:eastAsia="zh-CN"/>
        </w:rPr>
      </w:pPr>
      <w:r>
        <w:rPr>
          <w:rFonts w:hint="eastAsia"/>
          <w:lang w:eastAsia="zh-CN"/>
        </w:rPr>
        <w:t>此外，银保监会还于近日印发《关于进一步推动村镇银行化解风险改革重组有关事项的通</w:t>
      </w:r>
      <w:r>
        <w:rPr>
          <w:rFonts w:hint="eastAsia"/>
          <w:lang w:eastAsia="zh-CN"/>
        </w:rPr>
        <w:lastRenderedPageBreak/>
        <w:t>知》，其中明确提出，对于有出资意愿和处置能力的主发起行，属地银保监局和并表银保监局可在真实、洁净、合规的前提下，通过多种方式协助处置不良贷款。</w:t>
      </w:r>
    </w:p>
    <w:p w:rsidR="00A01A15" w:rsidRDefault="00A01A15" w:rsidP="00A01A15">
      <w:pPr>
        <w:pStyle w:val="a4"/>
        <w:spacing w:before="156" w:after="156"/>
        <w:ind w:firstLine="480"/>
        <w:rPr>
          <w:lang w:eastAsia="zh-CN"/>
        </w:rPr>
      </w:pPr>
      <w:r>
        <w:rPr>
          <w:rFonts w:hint="eastAsia"/>
          <w:lang w:eastAsia="zh-CN"/>
        </w:rPr>
        <w:t>业内人士预计，后续金融监管部门会通过针对不良资产处置实施优惠性税收政策、有序放宽对地方</w:t>
      </w:r>
      <w:r>
        <w:rPr>
          <w:lang w:eastAsia="zh-CN"/>
        </w:rPr>
        <w:t>AMC经营限制等举措，继续加大对银行不良资产处置的政策支持。</w:t>
      </w:r>
    </w:p>
    <w:p w:rsidR="00A01A15" w:rsidRPr="00A01A15" w:rsidRDefault="00A01A15" w:rsidP="00A01A15">
      <w:pPr>
        <w:pStyle w:val="a4"/>
        <w:spacing w:before="156" w:after="156"/>
        <w:ind w:firstLine="480"/>
        <w:rPr>
          <w:lang w:eastAsia="zh-CN"/>
        </w:rPr>
      </w:pPr>
      <w:r>
        <w:rPr>
          <w:rFonts w:hint="eastAsia"/>
          <w:lang w:eastAsia="zh-CN"/>
        </w:rPr>
        <w:t>温彬认为，一方面金融监管部门将突出逆周期监管，适当降低对银行拨备覆盖率、拨贷比等监管要求，有序放开不良资产市场，适当放宽对地方</w:t>
      </w:r>
      <w:r>
        <w:rPr>
          <w:lang w:eastAsia="zh-CN"/>
        </w:rPr>
        <w:t>AMC经营限制。另一方面，还可能针对不良资产处置实施优惠性税收政策，特别是适当减免以物抵债处置中涉及的税负，如土地增值税、契税和印花税等。此外，还可以适度放宽对呆账损失税前扣除的资产要求，扩大可用于税前抵扣的核销资产范围。</w:t>
      </w:r>
    </w:p>
    <w:p w:rsidR="00425B93" w:rsidRDefault="00821AD8" w:rsidP="008659C3">
      <w:pPr>
        <w:pStyle w:val="2"/>
        <w:spacing w:before="156" w:after="156"/>
      </w:pPr>
      <w:bookmarkStart w:id="9" w:name="_Toc62456422"/>
      <w:r w:rsidRPr="00821AD8">
        <w:rPr>
          <w:rFonts w:hint="eastAsia"/>
        </w:rPr>
        <w:t>事关亿户市场主体“取名”，今年</w:t>
      </w:r>
      <w:r w:rsidRPr="00821AD8">
        <w:t>3</w:t>
      </w:r>
      <w:r w:rsidRPr="00821AD8">
        <w:t>月起施行这项新规</w:t>
      </w:r>
      <w:bookmarkEnd w:id="9"/>
    </w:p>
    <w:p w:rsidR="00821AD8" w:rsidRDefault="00821AD8" w:rsidP="00821AD8">
      <w:pPr>
        <w:pStyle w:val="a4"/>
        <w:spacing w:before="156" w:after="156"/>
        <w:ind w:firstLine="480"/>
        <w:rPr>
          <w:lang w:eastAsia="zh-CN"/>
        </w:rPr>
      </w:pPr>
      <w:r>
        <w:rPr>
          <w:rFonts w:hint="eastAsia"/>
          <w:lang w:eastAsia="zh-CN"/>
        </w:rPr>
        <w:t>事关亿户市场主体“取名”的一项新规来了！《企业名称登记管理规定》自今年</w:t>
      </w:r>
      <w:r>
        <w:rPr>
          <w:lang w:eastAsia="zh-CN"/>
        </w:rPr>
        <w:t>3月起施行。国新办21日举行国务院政策例行吹风会，市场监管总局、司法部有关负责人介绍这项规定的有关情况。</w:t>
      </w:r>
    </w:p>
    <w:p w:rsidR="00821AD8" w:rsidRDefault="00821AD8" w:rsidP="00821AD8">
      <w:pPr>
        <w:pStyle w:val="a4"/>
        <w:spacing w:before="156" w:after="156"/>
        <w:ind w:firstLine="480"/>
        <w:rPr>
          <w:lang w:eastAsia="zh-CN"/>
        </w:rPr>
      </w:pPr>
      <w:r>
        <w:rPr>
          <w:rFonts w:hint="eastAsia"/>
          <w:lang w:eastAsia="zh-CN"/>
        </w:rPr>
        <w:t>就像人在社会上要有名字，企业在市场中也要有名称，这是企业之间区别的显著标志。同时，企业名称也是商业信誉的载体，还包含了一定的财产价值。这项规定将对企业名称登记产生哪些影响？</w:t>
      </w:r>
    </w:p>
    <w:p w:rsidR="00821AD8" w:rsidRDefault="00821AD8" w:rsidP="00821AD8">
      <w:pPr>
        <w:pStyle w:val="a4"/>
        <w:spacing w:before="156" w:after="156"/>
        <w:ind w:firstLine="480"/>
        <w:rPr>
          <w:lang w:eastAsia="zh-CN"/>
        </w:rPr>
      </w:pPr>
      <w:r>
        <w:rPr>
          <w:rFonts w:hint="eastAsia"/>
          <w:lang w:eastAsia="zh-CN"/>
        </w:rPr>
        <w:t>从企业名称的预先核准制度，改为企业名称自主申报制度，是改革的最大亮点。</w:t>
      </w:r>
    </w:p>
    <w:p w:rsidR="00821AD8" w:rsidRDefault="00821AD8" w:rsidP="00821AD8">
      <w:pPr>
        <w:pStyle w:val="a4"/>
        <w:spacing w:before="156" w:after="156"/>
        <w:ind w:firstLine="480"/>
        <w:rPr>
          <w:lang w:eastAsia="zh-CN"/>
        </w:rPr>
      </w:pPr>
      <w:r>
        <w:rPr>
          <w:rFonts w:hint="eastAsia"/>
          <w:lang w:eastAsia="zh-CN"/>
        </w:rPr>
        <w:t>“首先是赋予企业对名称更多的自主选择权。过去要预先核准，实际上是一个行政许可事项。修订后强调企业名称可以自主申报，让企业可以根据自己的意愿来自主申报名称。”市场监管总局副局长唐军说。</w:t>
      </w:r>
    </w:p>
    <w:p w:rsidR="00821AD8" w:rsidRDefault="00821AD8" w:rsidP="00821AD8">
      <w:pPr>
        <w:pStyle w:val="a4"/>
        <w:spacing w:before="156" w:after="156"/>
        <w:ind w:firstLine="480"/>
        <w:rPr>
          <w:lang w:eastAsia="zh-CN"/>
        </w:rPr>
      </w:pPr>
      <w:r>
        <w:rPr>
          <w:rFonts w:hint="eastAsia"/>
          <w:lang w:eastAsia="zh-CN"/>
        </w:rPr>
        <w:t>市场监管总局登记注册局局长杨红灿说，登记机关取消了企业名称预先核准的行政许可，向社会公开企业名称的基本规则，免费开放企业名称数据的查询。企业可以通过申报系统或服务窗口提交有关信息和材料，对拟定的企业名称进行查询、比对和筛选。企业对自己选取的企业名称自主判断、决定申报、登记和使用，并承诺依法承担相应的法律责任。</w:t>
      </w:r>
    </w:p>
    <w:p w:rsidR="00821AD8" w:rsidRDefault="00821AD8" w:rsidP="00821AD8">
      <w:pPr>
        <w:pStyle w:val="a4"/>
        <w:spacing w:before="156" w:after="156"/>
        <w:ind w:firstLine="480"/>
        <w:rPr>
          <w:lang w:eastAsia="zh-CN"/>
        </w:rPr>
      </w:pPr>
      <w:r>
        <w:rPr>
          <w:rFonts w:hint="eastAsia"/>
          <w:lang w:eastAsia="zh-CN"/>
        </w:rPr>
        <w:t>需要注意的是，企业名称自主申报系统通过的名称，并不意味着这个名称一定会获得登记。登记机关将对企业名称进行审查，如果违反禁止性条款将予以驳回并说明理由。</w:t>
      </w:r>
    </w:p>
    <w:p w:rsidR="00821AD8" w:rsidRDefault="00821AD8" w:rsidP="00821AD8">
      <w:pPr>
        <w:pStyle w:val="a4"/>
        <w:spacing w:before="156" w:after="156"/>
        <w:ind w:firstLine="480"/>
        <w:rPr>
          <w:lang w:eastAsia="zh-CN"/>
        </w:rPr>
      </w:pPr>
      <w:r>
        <w:rPr>
          <w:rFonts w:hint="eastAsia"/>
          <w:lang w:eastAsia="zh-CN"/>
        </w:rPr>
        <w:t>对于“傍名牌”等不当的企业名称如何监管？</w:t>
      </w:r>
    </w:p>
    <w:p w:rsidR="00821AD8" w:rsidRDefault="00821AD8" w:rsidP="00821AD8">
      <w:pPr>
        <w:pStyle w:val="a4"/>
        <w:spacing w:before="156" w:after="156"/>
        <w:ind w:firstLine="480"/>
        <w:rPr>
          <w:lang w:eastAsia="zh-CN"/>
        </w:rPr>
      </w:pPr>
      <w:r>
        <w:rPr>
          <w:rFonts w:hint="eastAsia"/>
          <w:lang w:eastAsia="zh-CN"/>
        </w:rPr>
        <w:t>唐军强调，企业名称可以自主选择，不是说放任自流。规定强化了事中事后监管，明确了</w:t>
      </w:r>
      <w:r>
        <w:rPr>
          <w:rFonts w:hint="eastAsia"/>
          <w:lang w:eastAsia="zh-CN"/>
        </w:rPr>
        <w:lastRenderedPageBreak/>
        <w:t>建立企业名称争议的行政裁决机制，涉及企业名称侵权行为的，可以请求登记机关处理，也可以向人民法院起诉。</w:t>
      </w:r>
    </w:p>
    <w:p w:rsidR="00821AD8" w:rsidRDefault="00821AD8" w:rsidP="00821AD8">
      <w:pPr>
        <w:pStyle w:val="a4"/>
        <w:spacing w:before="156" w:after="156"/>
        <w:ind w:firstLine="480"/>
        <w:rPr>
          <w:lang w:eastAsia="zh-CN"/>
        </w:rPr>
      </w:pPr>
      <w:r>
        <w:rPr>
          <w:rFonts w:hint="eastAsia"/>
          <w:lang w:eastAsia="zh-CN"/>
        </w:rPr>
        <w:t>市场监管总局登记注册局局长杨红灿介绍，已经将“火神山”“雷神山”等敏感字词纳入管理，配合相关部门清理整治知名医院被冒牌等问题。</w:t>
      </w:r>
    </w:p>
    <w:p w:rsidR="00821AD8" w:rsidRPr="00821AD8" w:rsidRDefault="00821AD8" w:rsidP="00821AD8">
      <w:pPr>
        <w:pStyle w:val="a4"/>
        <w:spacing w:before="156" w:after="156"/>
        <w:ind w:firstLine="480"/>
        <w:rPr>
          <w:lang w:eastAsia="zh-CN"/>
        </w:rPr>
      </w:pPr>
      <w:r>
        <w:rPr>
          <w:rFonts w:hint="eastAsia"/>
          <w:lang w:eastAsia="zh-CN"/>
        </w:rPr>
        <w:t>杨红灿说，对于一些企业由于历史原因形成的不合规名称，市场监管部门将制定完善规范管理制度，逐步解决企业名称登记管理中存在的问题。下一步，要依法加强特定领域企业名称的规范管理，加快建设全国企业名称数据库，不断优化完善企业名称自主申报系统，提升服务满意度。</w:t>
      </w:r>
    </w:p>
    <w:p w:rsidR="00425B93" w:rsidRDefault="00A50C38" w:rsidP="008659C3">
      <w:pPr>
        <w:pStyle w:val="2"/>
        <w:spacing w:before="156" w:after="156"/>
      </w:pPr>
      <w:bookmarkStart w:id="10" w:name="_Toc62456423"/>
      <w:r w:rsidRPr="00A50C38">
        <w:rPr>
          <w:rFonts w:hint="eastAsia"/>
        </w:rPr>
        <w:t>贷款利率近</w:t>
      </w:r>
      <w:r w:rsidRPr="00A50C38">
        <w:t>5</w:t>
      </w:r>
      <w:r w:rsidRPr="00A50C38">
        <w:t>年来最低！是否还有下调空间？</w:t>
      </w:r>
      <w:bookmarkEnd w:id="10"/>
    </w:p>
    <w:p w:rsidR="00A50C38" w:rsidRDefault="00A50C38" w:rsidP="00A50C38">
      <w:pPr>
        <w:pStyle w:val="a4"/>
        <w:spacing w:before="156" w:after="156"/>
        <w:ind w:firstLine="480"/>
        <w:rPr>
          <w:lang w:eastAsia="zh-CN"/>
        </w:rPr>
      </w:pPr>
      <w:r>
        <w:rPr>
          <w:rFonts w:hint="eastAsia"/>
          <w:lang w:eastAsia="zh-CN"/>
        </w:rPr>
        <w:t>全年人民币贷款增加</w:t>
      </w:r>
      <w:r>
        <w:rPr>
          <w:lang w:eastAsia="zh-CN"/>
        </w:rPr>
        <w:t>19.63万亿元！日前公布的2020年金融统计数据中，新增贷款量创下历史新高。与此同时，全国企业贷款加权平均利率则创下2015年有统计以来的最低水平——4.61%。</w:t>
      </w:r>
    </w:p>
    <w:p w:rsidR="00A50C38" w:rsidRDefault="00A50C38" w:rsidP="00A50C38">
      <w:pPr>
        <w:pStyle w:val="a4"/>
        <w:spacing w:before="156" w:after="156"/>
        <w:ind w:firstLine="480"/>
        <w:rPr>
          <w:lang w:eastAsia="zh-CN"/>
        </w:rPr>
      </w:pPr>
      <w:r>
        <w:rPr>
          <w:rFonts w:hint="eastAsia"/>
          <w:lang w:eastAsia="zh-CN"/>
        </w:rPr>
        <w:t>一高一低之间，是我国金融系统为保市场主体稳定发展创造出的新空间，展现出我国金融业支持实体经济发展的坚定决心和充足实力。</w:t>
      </w:r>
    </w:p>
    <w:p w:rsidR="00A50C38" w:rsidRDefault="00A50C38" w:rsidP="00A50C38">
      <w:pPr>
        <w:pStyle w:val="a4"/>
        <w:spacing w:before="156" w:after="156"/>
        <w:ind w:firstLine="480"/>
        <w:rPr>
          <w:lang w:eastAsia="zh-CN"/>
        </w:rPr>
      </w:pPr>
      <w:r>
        <w:rPr>
          <w:rFonts w:hint="eastAsia"/>
          <w:lang w:eastAsia="zh-CN"/>
        </w:rPr>
        <w:t>利率的降低不是一朝一夕的事，源自我国长期以来推动的利率市场化改革，以及新冠肺炎疫情期间金融业对实体经济的让利与支持。</w:t>
      </w:r>
    </w:p>
    <w:p w:rsidR="00A50C38" w:rsidRDefault="00A50C38" w:rsidP="00A50C38">
      <w:pPr>
        <w:pStyle w:val="a4"/>
        <w:spacing w:before="156" w:after="156"/>
        <w:ind w:firstLine="480"/>
        <w:rPr>
          <w:lang w:eastAsia="zh-CN"/>
        </w:rPr>
      </w:pPr>
      <w:r>
        <w:rPr>
          <w:lang w:eastAsia="zh-CN"/>
        </w:rPr>
        <w:t>2020年，我国三次降低存款准备金率，提供1.75万亿元长期流动性；累计推出9万多亿元的货币政策支持措施；前瞻性引导利率下降，推动实现金融系统向实体经济让利1.5万亿元目标……</w:t>
      </w:r>
    </w:p>
    <w:p w:rsidR="00A50C38" w:rsidRDefault="00A50C38" w:rsidP="00A50C38">
      <w:pPr>
        <w:pStyle w:val="a4"/>
        <w:spacing w:before="156" w:after="156"/>
        <w:ind w:firstLine="480"/>
        <w:rPr>
          <w:lang w:eastAsia="zh-CN"/>
        </w:rPr>
      </w:pPr>
      <w:r>
        <w:rPr>
          <w:lang w:eastAsia="zh-CN"/>
        </w:rPr>
        <w:t>5.12%、4.82%、4.64%、4.63%、4.61%——在一系列政策支持下，从2019年12月到2020年12月，我国企业贷款加权平均利率实现逐季度降低。</w:t>
      </w:r>
    </w:p>
    <w:p w:rsidR="00A50C38" w:rsidRDefault="00A50C38" w:rsidP="00A50C38">
      <w:pPr>
        <w:pStyle w:val="a4"/>
        <w:spacing w:before="156" w:after="156"/>
        <w:ind w:firstLine="480"/>
        <w:rPr>
          <w:lang w:eastAsia="zh-CN"/>
        </w:rPr>
      </w:pPr>
      <w:r>
        <w:rPr>
          <w:rFonts w:hint="eastAsia"/>
          <w:lang w:eastAsia="zh-CN"/>
        </w:rPr>
        <w:t>疫情之下，灵活适度、精准导向的货币政策让更多更具“性价比”的贷款流向实体经济，保住了市场主体，稳住了就业，助力我国经济逆势增长，经济总量首次迈上</w:t>
      </w:r>
      <w:r>
        <w:rPr>
          <w:lang w:eastAsia="zh-CN"/>
        </w:rPr>
        <w:t>100万亿元新台阶。</w:t>
      </w:r>
    </w:p>
    <w:p w:rsidR="00A50C38" w:rsidRDefault="00A50C38" w:rsidP="00A50C38">
      <w:pPr>
        <w:pStyle w:val="a4"/>
        <w:spacing w:before="156" w:after="156"/>
        <w:ind w:firstLine="480"/>
        <w:rPr>
          <w:lang w:eastAsia="zh-CN"/>
        </w:rPr>
      </w:pPr>
      <w:r>
        <w:rPr>
          <w:rFonts w:hint="eastAsia"/>
          <w:lang w:eastAsia="zh-CN"/>
        </w:rPr>
        <w:t>利率降低的同时，贷款资金的流向也充分体现了金融对实体经济重点领域的精准支持——</w:t>
      </w:r>
      <w:r>
        <w:rPr>
          <w:lang w:eastAsia="zh-CN"/>
        </w:rPr>
        <w:t>2020年，普惠小微贷款增长30.3%，制造业中长期贷款余额增速连续14个月上升，房地产贷款余额增速连续29个月回落。</w:t>
      </w:r>
    </w:p>
    <w:p w:rsidR="00A50C38" w:rsidRDefault="00A50C38" w:rsidP="00A50C38">
      <w:pPr>
        <w:pStyle w:val="a4"/>
        <w:spacing w:before="156" w:after="156"/>
        <w:ind w:firstLine="480"/>
        <w:rPr>
          <w:lang w:eastAsia="zh-CN"/>
        </w:rPr>
      </w:pPr>
      <w:r>
        <w:rPr>
          <w:rFonts w:hint="eastAsia"/>
          <w:lang w:eastAsia="zh-CN"/>
        </w:rPr>
        <w:t>从中国人民银行过去一年发布的企业家问卷调查报告来看，企业家们直接感受到了政策带来的“暖意”。</w:t>
      </w:r>
      <w:r>
        <w:rPr>
          <w:lang w:eastAsia="zh-CN"/>
        </w:rPr>
        <w:t>2020年第一季度到第四季度，资金周转指数和经营景气指数均逐季度上行，分</w:t>
      </w:r>
      <w:r>
        <w:rPr>
          <w:lang w:eastAsia="zh-CN"/>
        </w:rPr>
        <w:lastRenderedPageBreak/>
        <w:t>别由45.4%、30.3%回升至与疫情前水平相当的59.3%、55.8%。</w:t>
      </w:r>
    </w:p>
    <w:p w:rsidR="00A50C38" w:rsidRDefault="00A50C38" w:rsidP="00A50C38">
      <w:pPr>
        <w:pStyle w:val="a4"/>
        <w:spacing w:before="156" w:after="156"/>
        <w:ind w:firstLine="480"/>
        <w:rPr>
          <w:lang w:eastAsia="zh-CN"/>
        </w:rPr>
      </w:pPr>
      <w:r>
        <w:rPr>
          <w:lang w:eastAsia="zh-CN"/>
        </w:rPr>
        <w:t>5年来最低的企业贷款加权平均利率让一些人担心利率拐点是否即将来临，也有人期待利率进一步下调。</w:t>
      </w:r>
    </w:p>
    <w:p w:rsidR="00A50C38" w:rsidRDefault="00A50C38" w:rsidP="00A50C38">
      <w:pPr>
        <w:pStyle w:val="a4"/>
        <w:spacing w:before="156" w:after="156"/>
        <w:ind w:firstLine="480"/>
        <w:rPr>
          <w:lang w:eastAsia="zh-CN"/>
        </w:rPr>
      </w:pPr>
      <w:r>
        <w:rPr>
          <w:rFonts w:hint="eastAsia"/>
          <w:lang w:eastAsia="zh-CN"/>
        </w:rPr>
        <w:t>对此，中国人民银行货币政策司司长孙国峰说：“目前经济已经回到潜在产出水平，企业信贷需求强劲，货币信贷合理增长，说明当前利率水平是合适的。”</w:t>
      </w:r>
    </w:p>
    <w:p w:rsidR="00A50C38" w:rsidRDefault="00A50C38" w:rsidP="00A50C38">
      <w:pPr>
        <w:pStyle w:val="a4"/>
        <w:spacing w:before="156" w:after="156"/>
        <w:ind w:firstLine="480"/>
        <w:rPr>
          <w:lang w:eastAsia="zh-CN"/>
        </w:rPr>
      </w:pPr>
      <w:r>
        <w:rPr>
          <w:rFonts w:hint="eastAsia"/>
          <w:lang w:eastAsia="zh-CN"/>
        </w:rPr>
        <w:t>同时，他也表示，不论与其他发展中国家相比还是与我国历史上的准备金率相比，目前的存款准备金率水平都不高。</w:t>
      </w:r>
    </w:p>
    <w:p w:rsidR="00A50C38" w:rsidRPr="00A50C38" w:rsidRDefault="00A50C38" w:rsidP="00A50C38">
      <w:pPr>
        <w:pStyle w:val="a4"/>
        <w:spacing w:before="156" w:after="156"/>
        <w:ind w:firstLine="480"/>
        <w:rPr>
          <w:lang w:eastAsia="zh-CN"/>
        </w:rPr>
      </w:pPr>
      <w:r>
        <w:rPr>
          <w:rFonts w:hint="eastAsia"/>
          <w:lang w:eastAsia="zh-CN"/>
        </w:rPr>
        <w:t>利率是否还有进一步下调的空间尚属未知，但孙国峰在国新办日前举办的新闻发布会上明确提出，下一阶段，人民银行将巩固贷款实际利率下降成果，推动企业综合融资成本稳中有降。</w:t>
      </w:r>
    </w:p>
    <w:p w:rsidR="00425B93" w:rsidRDefault="0078553C" w:rsidP="008659C3">
      <w:pPr>
        <w:pStyle w:val="2"/>
        <w:spacing w:before="156" w:after="156"/>
      </w:pPr>
      <w:bookmarkStart w:id="11" w:name="_Toc62456424"/>
      <w:r w:rsidRPr="0078553C">
        <w:rPr>
          <w:rFonts w:hint="eastAsia"/>
        </w:rPr>
        <w:t>国常会：坚决制止涉企乱收费　有序做好法定税费征缴</w:t>
      </w:r>
      <w:bookmarkEnd w:id="11"/>
    </w:p>
    <w:p w:rsidR="0078553C" w:rsidRDefault="0078553C" w:rsidP="0078553C">
      <w:pPr>
        <w:pStyle w:val="a4"/>
        <w:spacing w:before="156" w:after="156"/>
        <w:ind w:firstLine="480"/>
        <w:rPr>
          <w:lang w:eastAsia="zh-CN"/>
        </w:rPr>
      </w:pPr>
      <w:r>
        <w:rPr>
          <w:lang w:eastAsia="zh-CN"/>
        </w:rPr>
        <w:t>1月20日召开</w:t>
      </w:r>
      <w:r>
        <w:rPr>
          <w:rFonts w:hint="eastAsia"/>
          <w:lang w:eastAsia="zh-CN"/>
        </w:rPr>
        <w:t>的</w:t>
      </w:r>
      <w:r>
        <w:rPr>
          <w:lang w:eastAsia="zh-CN"/>
        </w:rPr>
        <w:t>国务院常务会议，部署强化措施、完善制度，坚决制止涉企乱收费，有序做好法定税费征缴工作，确保不增加企业和群众不合理负担。</w:t>
      </w:r>
    </w:p>
    <w:p w:rsidR="0078553C" w:rsidRDefault="0078553C" w:rsidP="0078553C">
      <w:pPr>
        <w:pStyle w:val="a4"/>
        <w:spacing w:before="156" w:after="156"/>
        <w:ind w:firstLine="480"/>
        <w:rPr>
          <w:lang w:eastAsia="zh-CN"/>
        </w:rPr>
      </w:pPr>
      <w:r>
        <w:rPr>
          <w:rFonts w:hint="eastAsia"/>
          <w:lang w:eastAsia="zh-CN"/>
        </w:rPr>
        <w:t>会议指出，当前疫情和经济形势复杂，市场主体仍面临不少困难，要标本兼治，持续治理乱收费，减轻企业负担，巩固经济稳定恢复的基础。一是在全国开展涉企违规收费专项检查，严肃查处擅自设立收费项目、提高征收标准、扩大征收范围、乱摊派等问题，对企业反映强烈、社会影响恶劣的乱收费行为予以曝光。对行业协会商会收费全面开展自查抽查。二是规范交通、税务、应急等领域执法，科学制定裁量基准，对轻微交通违法、一般交通违法初犯偶犯等更多采取警告方式，慎用或不适用罚款，在税务执法领域研究推广“首违不罚”清单制度。落实和完善罚没管理制度，罚没收入全部上缴国库，实行“收支两条线”管理。三是继续清理规范重点领域收费。新设向企业收费的政府性基金必须严格遵循法定程序，到期基金能取消的一律取消，一时难以取消的也要降低征收标准。加强行政事业性收费项目管理，对收费标准明显偏高的要采取降标措施，取消体现一般性管理职能的收费项目。四是加强海运口岸收费监管，依法查处报关、物流、仓储、货物装卸等环节强制服务收费和明码标价不规范等违规行为。五是加快修订价格违法行为行政处罚等方面法规，及时修改或废除不合理的行政处罚事项，从制度上防止涉企乱收费。</w:t>
      </w:r>
    </w:p>
    <w:p w:rsidR="0078553C" w:rsidRDefault="0078553C" w:rsidP="0078553C">
      <w:pPr>
        <w:pStyle w:val="a4"/>
        <w:spacing w:before="156" w:after="156"/>
        <w:ind w:firstLine="480"/>
        <w:rPr>
          <w:lang w:eastAsia="zh-CN"/>
        </w:rPr>
      </w:pPr>
      <w:r>
        <w:rPr>
          <w:rFonts w:hint="eastAsia"/>
          <w:lang w:eastAsia="zh-CN"/>
        </w:rPr>
        <w:t>会议要求，要做好法定税费正常征缴工作，不得自行对历史欠费进行集中清缴，不得因社保费征收职责划转使企业特别是中小微企业增加缴费负担。今年所有省份要保持社保费现行征收方式不变。要深化“放管服”改革，优化社保缴费业务流程，扩大“非接触式”服务范围，</w:t>
      </w:r>
      <w:r>
        <w:rPr>
          <w:lang w:eastAsia="zh-CN"/>
        </w:rPr>
        <w:t>7月底前实现企业缴社保费基本能网上办理，年底前实现个人缴费基本能“掌上办理”。创新</w:t>
      </w:r>
      <w:r>
        <w:rPr>
          <w:lang w:eastAsia="zh-CN"/>
        </w:rPr>
        <w:lastRenderedPageBreak/>
        <w:t>措施，充分保障老年人、重度残疾人等特殊人群缴费顺畅便捷。加强社保费征收情况监测分析，发现问题及时处理。强化监督检查，对违规行为依规依纪严肃问责。</w:t>
      </w:r>
    </w:p>
    <w:p w:rsidR="0078553C" w:rsidRDefault="0078553C" w:rsidP="0078553C">
      <w:pPr>
        <w:pStyle w:val="a4"/>
        <w:spacing w:before="156" w:after="156"/>
        <w:ind w:firstLine="480"/>
        <w:rPr>
          <w:lang w:eastAsia="zh-CN"/>
        </w:rPr>
      </w:pPr>
      <w:r>
        <w:rPr>
          <w:rFonts w:hint="eastAsia"/>
          <w:lang w:eastAsia="zh-CN"/>
        </w:rPr>
        <w:t>中国企业联合会研究部研究员刘兴国对《经济参考报》记者表示，</w:t>
      </w:r>
      <w:r>
        <w:rPr>
          <w:lang w:eastAsia="zh-CN"/>
        </w:rPr>
        <w:t>2020年我国经济率先实现正增长，2.3%的经济增速世人瞩目。但当前疫情形势依然严峻，2021年企业发展仍面临较大不确定性。政府部门要充分考虑当前企业发展面临的巨大压力，在做好政策持续性安排的同时，为保障、激发和增强企业发展活力留出空间，推出针对中小微企业减税降费的新举措。</w:t>
      </w:r>
    </w:p>
    <w:p w:rsidR="0078553C" w:rsidRPr="0078553C" w:rsidRDefault="0078553C" w:rsidP="0078553C">
      <w:pPr>
        <w:pStyle w:val="a4"/>
        <w:spacing w:before="156" w:after="156"/>
        <w:ind w:firstLine="480"/>
        <w:rPr>
          <w:lang w:eastAsia="zh-CN"/>
        </w:rPr>
      </w:pPr>
      <w:r>
        <w:rPr>
          <w:rFonts w:hint="eastAsia"/>
          <w:lang w:eastAsia="zh-CN"/>
        </w:rPr>
        <w:t>刘兴国指出，此次国常会正是考虑到当前疫情形势和企业发展困难，围绕保护和发展市场主体做出了新的政策安排：一方面，要求继续采取措施规范和清理收费，以减轻企业负担；另一方面，针对部分地区存在减负政策落实不到位的现象，加强监督检查和完善制度建设，坚决制止涉企乱收费。在政策呵护下，今年中小企业将有一个更加宽松的发展环境。</w:t>
      </w:r>
    </w:p>
    <w:p w:rsidR="00425B93" w:rsidRDefault="0078553C" w:rsidP="008659C3">
      <w:pPr>
        <w:pStyle w:val="2"/>
        <w:spacing w:before="156" w:after="156"/>
      </w:pPr>
      <w:bookmarkStart w:id="12" w:name="_Toc62456425"/>
      <w:r w:rsidRPr="0078553C">
        <w:rPr>
          <w:rFonts w:hint="eastAsia"/>
        </w:rPr>
        <w:t>严控新增个人代持！国资委加强央企境外国有产权管理</w:t>
      </w:r>
      <w:bookmarkEnd w:id="12"/>
    </w:p>
    <w:p w:rsidR="0078553C" w:rsidRDefault="0078553C" w:rsidP="0078553C">
      <w:pPr>
        <w:pStyle w:val="a4"/>
        <w:spacing w:before="156" w:after="156"/>
        <w:ind w:firstLine="480"/>
        <w:rPr>
          <w:lang w:eastAsia="zh-CN"/>
        </w:rPr>
      </w:pPr>
      <w:r>
        <w:rPr>
          <w:rFonts w:hint="eastAsia"/>
          <w:lang w:eastAsia="zh-CN"/>
        </w:rPr>
        <w:t>国务院国资委</w:t>
      </w:r>
      <w:r>
        <w:rPr>
          <w:lang w:eastAsia="zh-CN"/>
        </w:rPr>
        <w:t>21日消息，国资委近日印发《关于进一步加强中央企业境外国有产权管理有关事项的通知》指出，中央企业要加强对个人代持境外国有产权和特殊目的公司的管理，持续动态管控。严控新增个人代持境外国有产权，确有必要新增的，统一由中央企业批准并报送国资委备案。</w:t>
      </w:r>
    </w:p>
    <w:p w:rsidR="0078553C" w:rsidRDefault="0078553C" w:rsidP="0078553C">
      <w:pPr>
        <w:pStyle w:val="a4"/>
        <w:spacing w:before="156" w:after="156"/>
        <w:ind w:firstLine="480"/>
        <w:rPr>
          <w:lang w:eastAsia="zh-CN"/>
        </w:rPr>
      </w:pPr>
      <w:r>
        <w:rPr>
          <w:rFonts w:hint="eastAsia"/>
          <w:lang w:eastAsia="zh-CN"/>
        </w:rPr>
        <w:t>《通知》明确，对于个人代持境外国有产权，要采取多种措施做好产权保护，并根据企业所在地法律和投资环境变化，及时予以调整规范。对于特殊目的公司，要逐一论证存续的必要性，依法依规及时注销已无存续必要的企业。确有困难的，要明确处置计划，并在年度境外产权管理状况报告中专项说明。</w:t>
      </w:r>
    </w:p>
    <w:p w:rsidR="0078553C" w:rsidRDefault="0078553C" w:rsidP="0078553C">
      <w:pPr>
        <w:pStyle w:val="a4"/>
        <w:spacing w:before="156" w:after="156"/>
        <w:ind w:firstLine="480"/>
        <w:rPr>
          <w:lang w:eastAsia="zh-CN"/>
        </w:rPr>
      </w:pPr>
      <w:r>
        <w:rPr>
          <w:rFonts w:hint="eastAsia"/>
          <w:lang w:eastAsia="zh-CN"/>
        </w:rPr>
        <w:t>《通知》指出，中央企业要立足企业实际，不断完善相关制度体系，具备条件的应当结合所在地法律、监管要求和自身业务，建立分区域、分板块等境外产权管理操作规范及流程细则，提高境外国有产权管理的针对性和有效性。中央企业要严格境外产权登记管理，应当通过国资委产权管理综合信息系统逐级申请办理产权登记，确保及时、完整、准确掌握境外产权情况。</w:t>
      </w:r>
    </w:p>
    <w:p w:rsidR="0078553C" w:rsidRPr="0078553C" w:rsidRDefault="0078553C" w:rsidP="0078553C">
      <w:pPr>
        <w:pStyle w:val="a4"/>
        <w:spacing w:before="156" w:after="156"/>
        <w:ind w:firstLine="480"/>
        <w:rPr>
          <w:lang w:eastAsia="zh-CN"/>
        </w:rPr>
      </w:pPr>
      <w:r>
        <w:rPr>
          <w:rFonts w:hint="eastAsia"/>
          <w:lang w:eastAsia="zh-CN"/>
        </w:rPr>
        <w:t>《通知》强调，中央企业要强化境外国有资产交易的决策及论证管理，境外国有产权（资产）对外转让、企业引入外部投资者增加资本要尽可能多方比选意向方。具备条件的，应当公开征集意向方并竞价交易。中央企业在本企业内部实施重组整合，境外企业国有产权在国有全资企业之间流转的，可以比照境内国有产权无偿划转管理相关规定，按照所在地法律法规，采用零对价、</w:t>
      </w:r>
      <w:r>
        <w:rPr>
          <w:lang w:eastAsia="zh-CN"/>
        </w:rPr>
        <w:t>1元（或1单位相关货币）转让方式进行。</w:t>
      </w:r>
    </w:p>
    <w:p w:rsidR="00425B93" w:rsidRDefault="00A42717" w:rsidP="008659C3">
      <w:pPr>
        <w:pStyle w:val="2"/>
        <w:spacing w:before="156" w:after="156"/>
      </w:pPr>
      <w:bookmarkStart w:id="13" w:name="_Toc62456426"/>
      <w:r w:rsidRPr="00A42717">
        <w:rPr>
          <w:rFonts w:hint="eastAsia"/>
        </w:rPr>
        <w:t>风险总体可控</w:t>
      </w:r>
      <w:r w:rsidRPr="00A42717">
        <w:t>改革持续推进</w:t>
      </w:r>
      <w:r w:rsidRPr="00A42717">
        <w:t>——</w:t>
      </w:r>
      <w:r w:rsidRPr="00A42717">
        <w:t>银保监会相关负责人谈银行业保险业改革发展</w:t>
      </w:r>
      <w:r w:rsidRPr="00A42717">
        <w:lastRenderedPageBreak/>
        <w:t>情况</w:t>
      </w:r>
      <w:bookmarkEnd w:id="13"/>
    </w:p>
    <w:p w:rsidR="00A42717" w:rsidRDefault="00A42717" w:rsidP="00A42717">
      <w:pPr>
        <w:pStyle w:val="a4"/>
        <w:spacing w:before="156" w:after="156"/>
        <w:ind w:firstLine="480"/>
        <w:rPr>
          <w:lang w:eastAsia="zh-CN"/>
        </w:rPr>
      </w:pPr>
      <w:r>
        <w:rPr>
          <w:rFonts w:hint="eastAsia"/>
          <w:lang w:eastAsia="zh-CN"/>
        </w:rPr>
        <w:t>当前中国银行业保险业风险形势如何？公司治理、中小银行等重点领域改革推进情况如何？在国新办</w:t>
      </w:r>
      <w:r>
        <w:rPr>
          <w:lang w:eastAsia="zh-CN"/>
        </w:rPr>
        <w:t>22日举行的新闻发布会上，银保监会相关负责人进行了详细介绍。</w:t>
      </w:r>
    </w:p>
    <w:p w:rsidR="00A42717" w:rsidRDefault="00A42717" w:rsidP="00A42717">
      <w:pPr>
        <w:pStyle w:val="a4"/>
        <w:spacing w:before="156" w:after="156"/>
        <w:ind w:firstLine="480"/>
        <w:rPr>
          <w:lang w:eastAsia="zh-CN"/>
        </w:rPr>
      </w:pPr>
      <w:r>
        <w:rPr>
          <w:rFonts w:hint="eastAsia"/>
          <w:lang w:eastAsia="zh-CN"/>
        </w:rPr>
        <w:t>“</w:t>
      </w:r>
      <w:r>
        <w:rPr>
          <w:lang w:eastAsia="zh-CN"/>
        </w:rPr>
        <w:t>2020年中国银行业保险业努力克服新冠肺炎疫情冲击、稳妥应对各种风险挑战，继续保持稳健运行良好态势。”银保监会副主席梁涛表示。</w:t>
      </w:r>
    </w:p>
    <w:p w:rsidR="00A42717" w:rsidRDefault="00A42717" w:rsidP="00A42717">
      <w:pPr>
        <w:pStyle w:val="a4"/>
        <w:spacing w:before="156" w:after="156"/>
        <w:ind w:firstLine="480"/>
        <w:rPr>
          <w:lang w:eastAsia="zh-CN"/>
        </w:rPr>
      </w:pPr>
      <w:r>
        <w:rPr>
          <w:rFonts w:hint="eastAsia"/>
          <w:lang w:eastAsia="zh-CN"/>
        </w:rPr>
        <w:t>数据显示，截至</w:t>
      </w:r>
      <w:r>
        <w:rPr>
          <w:lang w:eastAsia="zh-CN"/>
        </w:rPr>
        <w:t>2020年末，中国银行业不良贷款率1.92%，较年初下降0.06个百分点。</w:t>
      </w:r>
    </w:p>
    <w:p w:rsidR="00A42717" w:rsidRDefault="00A42717" w:rsidP="00A42717">
      <w:pPr>
        <w:pStyle w:val="a4"/>
        <w:spacing w:before="156" w:after="156"/>
        <w:ind w:firstLine="480"/>
        <w:rPr>
          <w:lang w:eastAsia="zh-CN"/>
        </w:rPr>
      </w:pPr>
      <w:r>
        <w:rPr>
          <w:rFonts w:hint="eastAsia"/>
          <w:lang w:eastAsia="zh-CN"/>
        </w:rPr>
        <w:t>银保监会首席风险官兼新闻发言人肖远企表示，当前银行业保险业风险总体可控，主要原因在于始终把服务和支持实体经济作为工作的出发点和落脚点，注重对存量风险的防范和处置，同时前瞻性采取一些预防风险的措施。</w:t>
      </w:r>
    </w:p>
    <w:p w:rsidR="00A42717" w:rsidRDefault="00A42717" w:rsidP="00A42717">
      <w:pPr>
        <w:pStyle w:val="a4"/>
        <w:spacing w:before="156" w:after="156"/>
        <w:ind w:firstLine="480"/>
        <w:rPr>
          <w:lang w:eastAsia="zh-CN"/>
        </w:rPr>
      </w:pPr>
      <w:r>
        <w:rPr>
          <w:rFonts w:hint="eastAsia"/>
          <w:lang w:eastAsia="zh-CN"/>
        </w:rPr>
        <w:t>“我们对重点领域的风险提前部署、未雨绸缪。”肖远企介绍说，房地产领域，已建立了房地产融资全方位、全口径的统计体系；影子银行方面，</w:t>
      </w:r>
      <w:r>
        <w:rPr>
          <w:lang w:eastAsia="zh-CN"/>
        </w:rPr>
        <w:t>2017年以来压降了20万亿元的高风险影子银行业务；同时通过增提拨备增强银行机构抵御风险的能力。</w:t>
      </w:r>
    </w:p>
    <w:p w:rsidR="00A42717" w:rsidRDefault="00A42717" w:rsidP="00A42717">
      <w:pPr>
        <w:pStyle w:val="a4"/>
        <w:spacing w:before="156" w:after="156"/>
        <w:ind w:firstLine="480"/>
        <w:rPr>
          <w:lang w:eastAsia="zh-CN"/>
        </w:rPr>
      </w:pPr>
      <w:r>
        <w:rPr>
          <w:rFonts w:hint="eastAsia"/>
          <w:lang w:eastAsia="zh-CN"/>
        </w:rPr>
        <w:t>“银行保险机构，目前无论是单点单体、区域性还是系统性风险，都在非常可控的水平。”肖远企说。</w:t>
      </w:r>
    </w:p>
    <w:p w:rsidR="00A42717" w:rsidRDefault="00A42717" w:rsidP="00A42717">
      <w:pPr>
        <w:pStyle w:val="a4"/>
        <w:spacing w:before="156" w:after="156"/>
        <w:ind w:firstLine="480"/>
        <w:rPr>
          <w:lang w:eastAsia="zh-CN"/>
        </w:rPr>
      </w:pPr>
      <w:r>
        <w:rPr>
          <w:rFonts w:hint="eastAsia"/>
          <w:lang w:eastAsia="zh-CN"/>
        </w:rPr>
        <w:t>公司治理是银行业保险业改革的重头戏。梁涛表示，银保监会坚持将健全公司治理作为推动银行保险机构强化风险防控、实现高质量发展的重要抓手。</w:t>
      </w:r>
    </w:p>
    <w:p w:rsidR="00A42717" w:rsidRDefault="00A42717" w:rsidP="00A42717">
      <w:pPr>
        <w:pStyle w:val="a4"/>
        <w:spacing w:before="156" w:after="156"/>
        <w:ind w:firstLine="480"/>
        <w:rPr>
          <w:lang w:eastAsia="zh-CN"/>
        </w:rPr>
      </w:pPr>
      <w:r>
        <w:rPr>
          <w:rFonts w:hint="eastAsia"/>
          <w:lang w:eastAsia="zh-CN"/>
        </w:rPr>
        <w:t>据介绍，银保监会首次完成了覆盖全部商业银行和保险机构的公司治理评估。参加评估的机构</w:t>
      </w:r>
      <w:r>
        <w:rPr>
          <w:lang w:eastAsia="zh-CN"/>
        </w:rPr>
        <w:t>1792家，评级结果主要集中在B级（较好）和C级（合格）水平，两个级别合计1400家，机构数量占比78.12%，被评为D级的也就是较弱的机构209家，占比11.66%，被评为E级也就是差的机构182家，占比10.16%。</w:t>
      </w:r>
    </w:p>
    <w:p w:rsidR="00A42717" w:rsidRDefault="00A42717" w:rsidP="00A42717">
      <w:pPr>
        <w:pStyle w:val="a4"/>
        <w:spacing w:before="156" w:after="156"/>
        <w:ind w:firstLine="480"/>
        <w:rPr>
          <w:lang w:eastAsia="zh-CN"/>
        </w:rPr>
      </w:pPr>
      <w:r>
        <w:rPr>
          <w:rFonts w:hint="eastAsia"/>
          <w:lang w:eastAsia="zh-CN"/>
        </w:rPr>
        <w:t>“通过评估，监管部门及时全面掌握了银行保险机构的公司治理状况，并通过对问题的督促整改和基于评估结果的分类监管，切实推动银行保险机构持续提升公司治理质效。”梁涛说。</w:t>
      </w:r>
    </w:p>
    <w:p w:rsidR="00A42717" w:rsidRDefault="00A42717" w:rsidP="00A42717">
      <w:pPr>
        <w:pStyle w:val="a4"/>
        <w:spacing w:before="156" w:after="156"/>
        <w:ind w:firstLine="480"/>
        <w:rPr>
          <w:lang w:eastAsia="zh-CN"/>
        </w:rPr>
      </w:pPr>
      <w:r>
        <w:rPr>
          <w:rFonts w:hint="eastAsia"/>
          <w:lang w:eastAsia="zh-CN"/>
        </w:rPr>
        <w:t>中小机构是公司治理改革的重点。据介绍，银保监会以中小机构为重点，严厉整治资本不实、股权代持、股东直接干预公司经营和通过不当关联交易进行利益输送的违法违规行为，排查了</w:t>
      </w:r>
      <w:r>
        <w:rPr>
          <w:lang w:eastAsia="zh-CN"/>
        </w:rPr>
        <w:t>4600家法人机构，查处了股权违规问题3000多个，分两批次向社会公开了违法违规情节严重、社会影响特别恶劣的47家银行保险机构股东名单。</w:t>
      </w:r>
    </w:p>
    <w:p w:rsidR="00A42717" w:rsidRDefault="00A42717" w:rsidP="00A42717">
      <w:pPr>
        <w:pStyle w:val="a4"/>
        <w:spacing w:before="156" w:after="156"/>
        <w:ind w:firstLine="480"/>
        <w:rPr>
          <w:lang w:eastAsia="zh-CN"/>
        </w:rPr>
      </w:pPr>
      <w:r>
        <w:rPr>
          <w:rFonts w:hint="eastAsia"/>
          <w:lang w:eastAsia="zh-CN"/>
        </w:rPr>
        <w:t>梁涛表示，中国银行保险机构的公司治理建设和改革取得了积极成效，但存在的问题仍不可忽视，包括部分机构股权结构不透明，股权代持、隐形股东问题较为突出，董事会运作不规</w:t>
      </w:r>
      <w:r>
        <w:rPr>
          <w:rFonts w:hint="eastAsia"/>
          <w:lang w:eastAsia="zh-CN"/>
        </w:rPr>
        <w:lastRenderedPageBreak/>
        <w:t>范、信息披露不规范等。</w:t>
      </w:r>
    </w:p>
    <w:p w:rsidR="00A42717" w:rsidRPr="00A42717" w:rsidRDefault="00A42717" w:rsidP="00A42717">
      <w:pPr>
        <w:pStyle w:val="a4"/>
        <w:spacing w:before="156" w:after="156"/>
        <w:ind w:firstLine="480"/>
        <w:rPr>
          <w:lang w:eastAsia="zh-CN"/>
        </w:rPr>
      </w:pPr>
      <w:r>
        <w:rPr>
          <w:rFonts w:hint="eastAsia"/>
          <w:lang w:eastAsia="zh-CN"/>
        </w:rPr>
        <w:t>“</w:t>
      </w:r>
      <w:r>
        <w:rPr>
          <w:lang w:eastAsia="zh-CN"/>
        </w:rPr>
        <w:t>2021年，银保监会将持续推动银行保险机构健全公司治理，加快完善公司治理监管制度体系，抓紧出台银行保险机构公司治理准则、大股东行为监管、关联交易管理、薪酬扣回、董事监事履职评价等监管规制。”梁涛说。</w:t>
      </w:r>
    </w:p>
    <w:p w:rsidR="00425B93" w:rsidRDefault="008659C3">
      <w:pPr>
        <w:pStyle w:val="1"/>
        <w:spacing w:before="156" w:after="156"/>
      </w:pPr>
      <w:bookmarkStart w:id="14" w:name="_Toc62456427"/>
      <w:r>
        <w:rPr>
          <w:rFonts w:hint="eastAsia"/>
        </w:rPr>
        <w:t>【金融监管】</w:t>
      </w:r>
      <w:bookmarkEnd w:id="14"/>
    </w:p>
    <w:p w:rsidR="004F2BE7" w:rsidRDefault="004F2BE7" w:rsidP="004F2BE7">
      <w:pPr>
        <w:pStyle w:val="2"/>
        <w:spacing w:before="156" w:after="156"/>
      </w:pPr>
      <w:bookmarkStart w:id="15" w:name="_Toc62456428"/>
      <w:r w:rsidRPr="004F2BE7">
        <w:rPr>
          <w:rFonts w:hint="eastAsia"/>
        </w:rPr>
        <w:t>对险企投资资产穿透到底</w:t>
      </w:r>
      <w:r w:rsidR="00BA06FA">
        <w:rPr>
          <w:rFonts w:hint="eastAsia"/>
        </w:rPr>
        <w:t xml:space="preserve"> </w:t>
      </w:r>
      <w:r w:rsidRPr="004F2BE7">
        <w:t>偿二代二期修订征求意见</w:t>
      </w:r>
      <w:bookmarkEnd w:id="15"/>
    </w:p>
    <w:p w:rsidR="004F2BE7" w:rsidRDefault="004F2BE7" w:rsidP="004F2BE7">
      <w:pPr>
        <w:pStyle w:val="a4"/>
        <w:spacing w:before="156" w:after="156"/>
        <w:ind w:firstLine="480"/>
        <w:rPr>
          <w:lang w:eastAsia="zh-CN"/>
        </w:rPr>
      </w:pPr>
      <w:r>
        <w:rPr>
          <w:rFonts w:hint="eastAsia"/>
          <w:lang w:eastAsia="zh-CN"/>
        </w:rPr>
        <w:t>借不动产再评估来虚增偿付能力，通过多层嵌套投资而掩盖真实偿付水平，在越来越完善的保险监管体系下，这类偿付指标“泡沫”将被一一戳破。上海证券报记者昨日独家获悉，为进一步提高保险业偿付能力监管的科学性、有效性和全面性，银保监会对以风险为导向的偿付能力体系（下称“偿二代”）现行规则进行了全面修订，形成了偿二代二期工程</w:t>
      </w:r>
      <w:r>
        <w:rPr>
          <w:lang w:eastAsia="zh-CN"/>
        </w:rPr>
        <w:t>20项监管规则修订稿，近日开始在业内征求意见。此次修订的原则是，对保险公司的投资资产“全面穿透、穿透到底”，准确识别和计量保险公司投资风险，如果资产无法穿透，将适用惩罚性的资本要求。</w:t>
      </w:r>
    </w:p>
    <w:p w:rsidR="004F2BE7" w:rsidRPr="004F2BE7" w:rsidRDefault="004F2BE7" w:rsidP="004F2BE7">
      <w:pPr>
        <w:pStyle w:val="a4"/>
        <w:spacing w:before="156" w:after="156"/>
        <w:ind w:firstLine="482"/>
        <w:rPr>
          <w:b/>
          <w:bCs/>
          <w:lang w:eastAsia="zh-CN"/>
        </w:rPr>
      </w:pPr>
      <w:r w:rsidRPr="004F2BE7">
        <w:rPr>
          <w:rFonts w:hint="eastAsia"/>
          <w:b/>
          <w:bCs/>
          <w:lang w:eastAsia="zh-CN"/>
        </w:rPr>
        <w:t>穿透到底</w:t>
      </w:r>
      <w:r w:rsidRPr="004F2BE7">
        <w:rPr>
          <w:b/>
          <w:bCs/>
          <w:lang w:eastAsia="zh-CN"/>
        </w:rPr>
        <w:t xml:space="preserve"> 准确识别投资风险</w:t>
      </w:r>
    </w:p>
    <w:p w:rsidR="004F2BE7" w:rsidRDefault="004F2BE7" w:rsidP="004F2BE7">
      <w:pPr>
        <w:pStyle w:val="a4"/>
        <w:spacing w:before="156" w:after="156"/>
        <w:ind w:firstLine="480"/>
        <w:rPr>
          <w:lang w:eastAsia="zh-CN"/>
        </w:rPr>
      </w:pPr>
      <w:r>
        <w:rPr>
          <w:rFonts w:hint="eastAsia"/>
          <w:lang w:eastAsia="zh-CN"/>
        </w:rPr>
        <w:t>作为风险防范的“牛鼻子”，偿付能力充足率是近年来保险监管的核心。</w:t>
      </w:r>
      <w:r>
        <w:rPr>
          <w:lang w:eastAsia="zh-CN"/>
        </w:rPr>
        <w:t>2015年2月，偿二代正式发布，在提升行业风险防控能力、促进行业转型升级等方面发挥了积极作用。随着保险经营环境、业务模式和风险特征的不断变化，偿二代实施过程中遇到了新情况、新问题，需要进一步优化调整。</w:t>
      </w:r>
    </w:p>
    <w:p w:rsidR="004F2BE7" w:rsidRDefault="004F2BE7" w:rsidP="004F2BE7">
      <w:pPr>
        <w:pStyle w:val="a4"/>
        <w:spacing w:before="156" w:after="156"/>
        <w:ind w:firstLine="480"/>
        <w:rPr>
          <w:lang w:eastAsia="zh-CN"/>
        </w:rPr>
      </w:pPr>
      <w:r>
        <w:rPr>
          <w:rFonts w:hint="eastAsia"/>
          <w:lang w:eastAsia="zh-CN"/>
        </w:rPr>
        <w:t>从征求意见稿来看，本次修订在偿二代“三支柱”监管框架下，对现行</w:t>
      </w:r>
      <w:r>
        <w:rPr>
          <w:lang w:eastAsia="zh-CN"/>
        </w:rPr>
        <w:t>17项监管规则进行了全面修订，增加了3项新的监管规则，即第7号规则《市场风险和信用风险的穿透计量》、第14号规则《资本规划》、第20号规则《劳合社（中国）》，形成偿二代主干技术标准共20个监管规则。</w:t>
      </w:r>
    </w:p>
    <w:p w:rsidR="004F2BE7" w:rsidRDefault="004F2BE7" w:rsidP="004F2BE7">
      <w:pPr>
        <w:pStyle w:val="a4"/>
        <w:spacing w:before="156" w:after="156"/>
        <w:ind w:firstLine="480"/>
        <w:rPr>
          <w:lang w:eastAsia="zh-CN"/>
        </w:rPr>
      </w:pPr>
      <w:r>
        <w:rPr>
          <w:rFonts w:hint="eastAsia"/>
          <w:lang w:eastAsia="zh-CN"/>
        </w:rPr>
        <w:t>在第一支柱定量资本要求方面，实施穿透监管。征求意见稿规定，保险公司计量投资资产的市场风险和信用风险最低资本时，应当按照“全面穿透、穿透到底”的原则，识别保险资金的最终投向，基于实际投资的底层资产计量最低资本，以准确反映其风险实质。比如，保险公司投资的信托计划，若其底层资产为房地产，则应当按照穿透后的房地产计提最低资本。对于因嵌套关系复杂而无法穿透的资产，设定了惩罚因子，大幅提高其资本要求，引导保险公司减少投资嵌套，提高信息透明度。</w:t>
      </w:r>
    </w:p>
    <w:p w:rsidR="004F2BE7" w:rsidRDefault="004F2BE7" w:rsidP="004F2BE7">
      <w:pPr>
        <w:pStyle w:val="a4"/>
        <w:spacing w:before="156" w:after="156"/>
        <w:ind w:firstLine="480"/>
        <w:rPr>
          <w:lang w:eastAsia="zh-CN"/>
        </w:rPr>
      </w:pPr>
      <w:r>
        <w:rPr>
          <w:rFonts w:hint="eastAsia"/>
          <w:lang w:eastAsia="zh-CN"/>
        </w:rPr>
        <w:lastRenderedPageBreak/>
        <w:t>严格资本认定标准，夯实保险公司资本质量。比如，对于投资性房地产，要求按照成本模式计量金额确定认可价值，防止高估偿付能力。记者此前调查发现，一些保险公司曾通过投资性房地产再评估、利用公允价值计量的方式，达到增加资本、提升偿付能力水平的目的，而这些达标的偿付能力，不排除存在虚高、有泡沫的可能性。</w:t>
      </w:r>
    </w:p>
    <w:p w:rsidR="004F2BE7" w:rsidRDefault="004F2BE7" w:rsidP="004F2BE7">
      <w:pPr>
        <w:pStyle w:val="a4"/>
        <w:spacing w:before="156" w:after="156"/>
        <w:ind w:firstLine="480"/>
        <w:rPr>
          <w:lang w:eastAsia="zh-CN"/>
        </w:rPr>
      </w:pPr>
      <w:r>
        <w:rPr>
          <w:rFonts w:hint="eastAsia"/>
          <w:lang w:eastAsia="zh-CN"/>
        </w:rPr>
        <w:t>此外，征求意见稿强化了保险风险监管，科学反映保险公司风险状况。比如，针对融资性信用保证保险风险较大的情况，征求意见稿将贷款余额作为其风险暴露，并借鉴巴塞尔资本协议Ⅲ确定相关风险因子，大幅提升了该险种的资本要求。</w:t>
      </w:r>
    </w:p>
    <w:p w:rsidR="004F2BE7" w:rsidRDefault="004F2BE7" w:rsidP="004F2BE7">
      <w:pPr>
        <w:pStyle w:val="a4"/>
        <w:spacing w:before="156" w:after="156"/>
        <w:ind w:firstLine="480"/>
        <w:rPr>
          <w:lang w:eastAsia="zh-CN"/>
        </w:rPr>
      </w:pPr>
      <w:r>
        <w:rPr>
          <w:rFonts w:hint="eastAsia"/>
          <w:lang w:eastAsia="zh-CN"/>
        </w:rPr>
        <w:t>征求意见稿还完善了长期股权投资的监管标准，引导保险公司审慎投资。比如，在实际资本评估方面，征求意见稿完善了长期股权投资的认可标准，强化了减值要求。对于保险公司持有的上市公司蓝筹股，允许以市场价值作为其认可价值；对于保险公司持有的其他上市公司股权，若账面价值持续低于市价一年或低于账面价值的比例超过</w:t>
      </w:r>
      <w:r>
        <w:rPr>
          <w:lang w:eastAsia="zh-CN"/>
        </w:rPr>
        <w:t>50%，应当以市场价值作为其认可价值。</w:t>
      </w:r>
    </w:p>
    <w:p w:rsidR="004F2BE7" w:rsidRDefault="004F2BE7" w:rsidP="004F2BE7">
      <w:pPr>
        <w:pStyle w:val="a4"/>
        <w:spacing w:before="156" w:after="156"/>
        <w:ind w:firstLine="480"/>
        <w:rPr>
          <w:lang w:eastAsia="zh-CN"/>
        </w:rPr>
      </w:pPr>
      <w:r>
        <w:rPr>
          <w:rFonts w:hint="eastAsia"/>
          <w:lang w:eastAsia="zh-CN"/>
        </w:rPr>
        <w:t>备受关注的还有，征求意见稿完善了利率风险计量方法，引导保险公司优化资产负债匹配管理。包括：优化对冲利率风险的资产范围，按照资产现金流实质、与会计分类脱钩的原则，将与利率敏感的资产全部纳入利率风险的对冲范围；统一资产负债评估的基准利率曲线和不利情景，对于资产负债评估，统一采用</w:t>
      </w:r>
      <w:r>
        <w:rPr>
          <w:lang w:eastAsia="zh-CN"/>
        </w:rPr>
        <w:t>60日移动平均国债收益率曲线及其不利情景，更及时地反映保险公司利率风险。</w:t>
      </w:r>
    </w:p>
    <w:p w:rsidR="004F2BE7" w:rsidRPr="004F2BE7" w:rsidRDefault="004F2BE7" w:rsidP="004F2BE7">
      <w:pPr>
        <w:pStyle w:val="a4"/>
        <w:spacing w:before="156" w:after="156"/>
        <w:ind w:firstLine="482"/>
        <w:rPr>
          <w:b/>
          <w:bCs/>
          <w:lang w:eastAsia="zh-CN"/>
        </w:rPr>
      </w:pPr>
      <w:r w:rsidRPr="004F2BE7">
        <w:rPr>
          <w:rFonts w:hint="eastAsia"/>
          <w:b/>
          <w:bCs/>
          <w:lang w:eastAsia="zh-CN"/>
        </w:rPr>
        <w:t>优化评级标准</w:t>
      </w:r>
      <w:r w:rsidRPr="004F2BE7">
        <w:rPr>
          <w:b/>
          <w:bCs/>
          <w:lang w:eastAsia="zh-CN"/>
        </w:rPr>
        <w:t xml:space="preserve"> 科学反映实际风险</w:t>
      </w:r>
    </w:p>
    <w:p w:rsidR="004F2BE7" w:rsidRDefault="004F2BE7" w:rsidP="004F2BE7">
      <w:pPr>
        <w:pStyle w:val="a4"/>
        <w:spacing w:before="156" w:after="156"/>
        <w:ind w:firstLine="480"/>
        <w:rPr>
          <w:lang w:eastAsia="zh-CN"/>
        </w:rPr>
      </w:pPr>
      <w:r>
        <w:rPr>
          <w:rFonts w:hint="eastAsia"/>
          <w:lang w:eastAsia="zh-CN"/>
        </w:rPr>
        <w:t>在第二支柱定性监管要求方面，征求意见稿优化了风险综合评级（</w:t>
      </w:r>
      <w:r>
        <w:rPr>
          <w:lang w:eastAsia="zh-CN"/>
        </w:rPr>
        <w:t>IRR）评价标准，科学反映保险公司实际风险。</w:t>
      </w:r>
    </w:p>
    <w:p w:rsidR="004F2BE7" w:rsidRDefault="004F2BE7" w:rsidP="004F2BE7">
      <w:pPr>
        <w:pStyle w:val="a4"/>
        <w:spacing w:before="156" w:after="156"/>
        <w:ind w:firstLine="480"/>
        <w:rPr>
          <w:lang w:eastAsia="zh-CN"/>
        </w:rPr>
      </w:pPr>
      <w:r>
        <w:rPr>
          <w:rFonts w:hint="eastAsia"/>
          <w:lang w:eastAsia="zh-CN"/>
        </w:rPr>
        <w:t>比如，本次修订细化了保险公司的监管评级类别，将</w:t>
      </w:r>
      <w:r>
        <w:rPr>
          <w:lang w:eastAsia="zh-CN"/>
        </w:rPr>
        <w:t>A类和B类分别细分为AAA、AA、A和BBB、BB、B六个子类，进一步提高区分度；全面修订了难以资本化风险的各项评价指标和标准，评价指标从现行的535个精简为112个。</w:t>
      </w:r>
    </w:p>
    <w:p w:rsidR="004F2BE7" w:rsidRDefault="004F2BE7" w:rsidP="004F2BE7">
      <w:pPr>
        <w:pStyle w:val="a4"/>
        <w:spacing w:before="156" w:after="156"/>
        <w:ind w:firstLine="480"/>
        <w:rPr>
          <w:lang w:eastAsia="zh-CN"/>
        </w:rPr>
      </w:pPr>
      <w:r>
        <w:rPr>
          <w:rFonts w:hint="eastAsia"/>
          <w:lang w:eastAsia="zh-CN"/>
        </w:rPr>
        <w:t>此外，优化流动性评价标准和指标，全面监管流动性风险。</w:t>
      </w:r>
    </w:p>
    <w:p w:rsidR="004F2BE7" w:rsidRDefault="004F2BE7" w:rsidP="004F2BE7">
      <w:pPr>
        <w:pStyle w:val="a4"/>
        <w:spacing w:before="156" w:after="156"/>
        <w:ind w:firstLine="480"/>
        <w:rPr>
          <w:lang w:eastAsia="zh-CN"/>
        </w:rPr>
      </w:pPr>
      <w:r>
        <w:rPr>
          <w:rFonts w:hint="eastAsia"/>
          <w:lang w:eastAsia="zh-CN"/>
        </w:rPr>
        <w:t>比如，针对保险公司流动性管理以及业务结构特点，分别对产险、寿险和再保险公司，从资产端、负债端角度设置差异化风险指标，全面监测保险公司流动性风险；强化了现金流测试对短期风险的预警能力，将现金流测试的频度由每年一次修订为每季度一次，同时将现金流预测区间统一为未来</w:t>
      </w:r>
      <w:r>
        <w:rPr>
          <w:lang w:eastAsia="zh-CN"/>
        </w:rPr>
        <w:t>12个月。</w:t>
      </w:r>
    </w:p>
    <w:p w:rsidR="004F2BE7" w:rsidRPr="004F2BE7" w:rsidRDefault="004F2BE7" w:rsidP="004F2BE7">
      <w:pPr>
        <w:pStyle w:val="a4"/>
        <w:spacing w:before="156" w:after="156"/>
        <w:ind w:firstLine="482"/>
        <w:rPr>
          <w:b/>
          <w:bCs/>
          <w:lang w:eastAsia="zh-CN"/>
        </w:rPr>
      </w:pPr>
      <w:r w:rsidRPr="004F2BE7">
        <w:rPr>
          <w:rFonts w:hint="eastAsia"/>
          <w:b/>
          <w:bCs/>
          <w:lang w:eastAsia="zh-CN"/>
        </w:rPr>
        <w:lastRenderedPageBreak/>
        <w:t>扩展信息披露内容</w:t>
      </w:r>
      <w:r w:rsidRPr="004F2BE7">
        <w:rPr>
          <w:b/>
          <w:bCs/>
          <w:lang w:eastAsia="zh-CN"/>
        </w:rPr>
        <w:t xml:space="preserve"> 发挥监督约束作用</w:t>
      </w:r>
    </w:p>
    <w:p w:rsidR="004F2BE7" w:rsidRDefault="004F2BE7" w:rsidP="004F2BE7">
      <w:pPr>
        <w:pStyle w:val="a4"/>
        <w:spacing w:before="156" w:after="156"/>
        <w:ind w:firstLine="480"/>
        <w:rPr>
          <w:lang w:eastAsia="zh-CN"/>
        </w:rPr>
      </w:pPr>
      <w:r>
        <w:rPr>
          <w:rFonts w:hint="eastAsia"/>
          <w:lang w:eastAsia="zh-CN"/>
        </w:rPr>
        <w:t>在第三支柱市场约束机制方面，进一步扩展了保险公司偿付能力信息公开披露的内容，增加了对重大事项、管理层分析与讨论、外部机构意见、偿付能力报告审计重大变动等披露要求，有助于进一步提升信息透明度，充分发挥相关方的监督约束作用，更有效地防控偿付能力风险。</w:t>
      </w:r>
    </w:p>
    <w:p w:rsidR="004F2BE7" w:rsidRPr="004F2BE7" w:rsidRDefault="004F2BE7" w:rsidP="004F2BE7">
      <w:pPr>
        <w:pStyle w:val="a4"/>
        <w:spacing w:before="156" w:after="156"/>
        <w:ind w:firstLine="480"/>
        <w:rPr>
          <w:lang w:eastAsia="zh-CN"/>
        </w:rPr>
      </w:pPr>
      <w:r>
        <w:rPr>
          <w:rFonts w:hint="eastAsia"/>
          <w:lang w:eastAsia="zh-CN"/>
        </w:rPr>
        <w:t>据了解，根据征求意见的情况，监管部门将对</w:t>
      </w:r>
      <w:r>
        <w:rPr>
          <w:lang w:eastAsia="zh-CN"/>
        </w:rPr>
        <w:t>20项监管规则做进一步修改完善，审议后再正式发布。实施时间和过渡期安排将另行考虑。</w:t>
      </w:r>
    </w:p>
    <w:p w:rsidR="00496715" w:rsidRDefault="00496715" w:rsidP="00496715">
      <w:pPr>
        <w:pStyle w:val="2"/>
        <w:spacing w:before="156" w:after="156"/>
      </w:pPr>
      <w:bookmarkStart w:id="16" w:name="_Toc62456429"/>
      <w:r w:rsidRPr="00496715">
        <w:rPr>
          <w:rFonts w:hint="eastAsia"/>
        </w:rPr>
        <w:t>银保监会拟加强商业银行负债质量管理</w:t>
      </w:r>
      <w:bookmarkEnd w:id="16"/>
    </w:p>
    <w:p w:rsidR="00496715" w:rsidRDefault="00496715" w:rsidP="00496715">
      <w:pPr>
        <w:pStyle w:val="a4"/>
        <w:spacing w:before="156" w:after="156"/>
        <w:ind w:firstLine="480"/>
        <w:rPr>
          <w:lang w:eastAsia="zh-CN"/>
        </w:rPr>
      </w:pPr>
      <w:r>
        <w:rPr>
          <w:rFonts w:hint="eastAsia"/>
          <w:lang w:eastAsia="zh-CN"/>
        </w:rPr>
        <w:t>中国银保监会</w:t>
      </w:r>
      <w:r>
        <w:rPr>
          <w:lang w:eastAsia="zh-CN"/>
        </w:rPr>
        <w:t>22日就商业银行负债质量管理办法公开征求意见，从负债来源稳定性、负债结构多样性、负债与资产匹配合理性、负债获取的主动性、负债成本适当性、负债项目真实性等六方面明确了负债质量管理的核心要素。</w:t>
      </w:r>
    </w:p>
    <w:p w:rsidR="00496715" w:rsidRDefault="00496715" w:rsidP="00496715">
      <w:pPr>
        <w:pStyle w:val="a4"/>
        <w:spacing w:before="156" w:after="156"/>
        <w:ind w:firstLine="480"/>
        <w:rPr>
          <w:lang w:eastAsia="zh-CN"/>
        </w:rPr>
      </w:pPr>
      <w:r>
        <w:rPr>
          <w:rFonts w:hint="eastAsia"/>
          <w:lang w:eastAsia="zh-CN"/>
        </w:rPr>
        <w:t>银保监会有关部门负责人表示，良好的负债质量管理是商业银行稳健经营的基础。近年来，随着利率市场化的推进和资本市场、互联网金融、影子银行等金融业态的发展，商业银行负债业务复杂程度上升、管理难度加大，客观上需要总结归纳和提炼负债业务的管理评价标准，构建全面、系统的负债业务管理和风险控制体系。</w:t>
      </w:r>
    </w:p>
    <w:p w:rsidR="00496715" w:rsidRDefault="00496715" w:rsidP="00496715">
      <w:pPr>
        <w:pStyle w:val="a4"/>
        <w:spacing w:before="156" w:after="156"/>
        <w:ind w:firstLine="480"/>
        <w:rPr>
          <w:lang w:eastAsia="zh-CN"/>
        </w:rPr>
      </w:pPr>
      <w:r>
        <w:rPr>
          <w:rFonts w:hint="eastAsia"/>
          <w:lang w:eastAsia="zh-CN"/>
        </w:rPr>
        <w:t>办法要求，商业银行应当提高负债来源的稳定性，密切关注影响本行负债来源稳定性的内外部因素，加强对负债规模和结构变动的监测和分析，防止负债大幅异常变动引发风险。同时要提高负债结构的多样性，建立按行业、客户类型、产品种类等不同维度的负债结构指标管理体系，包括但不限于最大十户存款比例、最大十家同业融入比例等相关参考指标。</w:t>
      </w:r>
    </w:p>
    <w:p w:rsidR="00496715" w:rsidRDefault="00496715" w:rsidP="00496715">
      <w:pPr>
        <w:pStyle w:val="a4"/>
        <w:spacing w:before="156" w:after="156"/>
        <w:ind w:firstLine="480"/>
        <w:rPr>
          <w:lang w:eastAsia="zh-CN"/>
        </w:rPr>
      </w:pPr>
      <w:r>
        <w:rPr>
          <w:rFonts w:hint="eastAsia"/>
          <w:lang w:eastAsia="zh-CN"/>
        </w:rPr>
        <w:t>合规经营方面，办法明确，商业银行不得采取违规返利吸存、通过第三方中介吸存、延迟支付吸存、以贷转存吸存、提前支取靠档计息等违规手段吸收和虚增存款。商业银行通过互联网吸收存款的，应当遵守相关监管规定。</w:t>
      </w:r>
    </w:p>
    <w:p w:rsidR="00496715" w:rsidRDefault="00496715" w:rsidP="00496715">
      <w:pPr>
        <w:pStyle w:val="a4"/>
        <w:spacing w:before="156" w:after="156"/>
        <w:ind w:firstLine="480"/>
        <w:rPr>
          <w:lang w:eastAsia="zh-CN"/>
        </w:rPr>
      </w:pPr>
      <w:r>
        <w:rPr>
          <w:rFonts w:hint="eastAsia"/>
          <w:lang w:eastAsia="zh-CN"/>
        </w:rPr>
        <w:t>银保监会有关部门负责人表示，考虑到我国商业银行种类众多，规模和负债基础上存在较大差异，办法明确商业银行可根据本行业务特征与风险偏好，在已列举定量指标基础上，差异化设置负债管理指标和内部限额。</w:t>
      </w:r>
    </w:p>
    <w:p w:rsidR="00425B93" w:rsidRDefault="00224097" w:rsidP="008659C3">
      <w:pPr>
        <w:pStyle w:val="2"/>
        <w:spacing w:before="156" w:after="156"/>
      </w:pPr>
      <w:bookmarkStart w:id="17" w:name="_Toc62456430"/>
      <w:r w:rsidRPr="00224097">
        <w:rPr>
          <w:rFonts w:hint="eastAsia"/>
        </w:rPr>
        <w:t>重</w:t>
      </w:r>
      <w:r w:rsidR="004F2BE7" w:rsidRPr="004F2BE7">
        <w:rPr>
          <w:rFonts w:hint="eastAsia"/>
        </w:rPr>
        <w:t>央行公开征求意见　强化支付领域反垄断监管措施</w:t>
      </w:r>
      <w:bookmarkEnd w:id="17"/>
    </w:p>
    <w:p w:rsidR="004F2BE7" w:rsidRDefault="004F2BE7" w:rsidP="004F2BE7">
      <w:pPr>
        <w:pStyle w:val="a4"/>
        <w:spacing w:before="156" w:after="156"/>
        <w:ind w:firstLine="480"/>
        <w:rPr>
          <w:lang w:eastAsia="zh-CN"/>
        </w:rPr>
      </w:pPr>
      <w:r>
        <w:rPr>
          <w:lang w:eastAsia="zh-CN"/>
        </w:rPr>
        <w:t>1月20日，央行网站显示，为防范支付风险，促进支付服务市场健康发展，央行会同有关部门研究起草了《非银行支付机构条例（征求意见稿）》（下称“《条例》”）。《条例》鼓励开放与竞争的原则，从机构准入退出、业务规则等方面，建立完善的市场化机制。同时，《条</w:t>
      </w:r>
      <w:r>
        <w:rPr>
          <w:lang w:eastAsia="zh-CN"/>
        </w:rPr>
        <w:lastRenderedPageBreak/>
        <w:t>例》强化支付领域反垄断监管措施，明确界定相关市场范围以及市场支配地位认定标准，维护公平竞争市场秩序。</w:t>
      </w:r>
    </w:p>
    <w:p w:rsidR="004F2BE7" w:rsidRDefault="004F2BE7" w:rsidP="004F2BE7">
      <w:pPr>
        <w:pStyle w:val="a4"/>
        <w:spacing w:before="156" w:after="156"/>
        <w:ind w:firstLine="480"/>
        <w:rPr>
          <w:lang w:eastAsia="zh-CN"/>
        </w:rPr>
      </w:pPr>
      <w:r>
        <w:rPr>
          <w:rFonts w:hint="eastAsia"/>
          <w:lang w:eastAsia="zh-CN"/>
        </w:rPr>
        <w:t>防范支付领域金融风险是守住不发生系统性金融风险底线的重要一环。</w:t>
      </w:r>
      <w:r>
        <w:rPr>
          <w:lang w:eastAsia="zh-CN"/>
        </w:rPr>
        <w:t>2010年6月，央行制定《非金融机构支付服务管理办法》，奠定了非银行支付机构（下称“支付机构”）监管基础。央行表示，近年来，支付服务市场快速发展，创新层出不穷，风险复杂多变，机构退出和处置面临新的要求。迫切需要加快推动出台《条例》，提升支付机构监管法律层级，进一步规范支付机构合规经营。</w:t>
      </w:r>
    </w:p>
    <w:p w:rsidR="004F2BE7" w:rsidRDefault="004F2BE7" w:rsidP="004F2BE7">
      <w:pPr>
        <w:pStyle w:val="a4"/>
        <w:spacing w:before="156" w:after="156"/>
        <w:ind w:firstLine="480"/>
        <w:rPr>
          <w:lang w:eastAsia="zh-CN"/>
        </w:rPr>
      </w:pPr>
      <w:r>
        <w:rPr>
          <w:rFonts w:hint="eastAsia"/>
          <w:lang w:eastAsia="zh-CN"/>
        </w:rPr>
        <w:t>“作为部门规章的《非金融机构支付服务管理办法》，将升级为作为行政法规的《条例》，法律层级更高，威慑力更强，将更好地规范支付清算市场。”招联金融首席研究员、复旦大学金融研究院兼职研究员董希淼说。</w:t>
      </w:r>
    </w:p>
    <w:p w:rsidR="004F2BE7" w:rsidRDefault="004F2BE7" w:rsidP="004F2BE7">
      <w:pPr>
        <w:pStyle w:val="a4"/>
        <w:spacing w:before="156" w:after="156"/>
        <w:ind w:firstLine="480"/>
        <w:rPr>
          <w:lang w:eastAsia="zh-CN"/>
        </w:rPr>
      </w:pPr>
      <w:r>
        <w:rPr>
          <w:rFonts w:hint="eastAsia"/>
          <w:lang w:eastAsia="zh-CN"/>
        </w:rPr>
        <w:t>具体来看，《条例》坚持功能监管的理念。强调同样的业务遵守相同的规则，避免监管套利和监管空白。同时，坚持机构监管与业务监管相结合。按照“先证后照”原则，对支付机构实施机构监管，同时对支付机构业务经营、关联交易等实施全方位监管。此外，坚持穿透式监管。加强对股东、实际控制人和最终受益人准入和变更的监管。</w:t>
      </w:r>
    </w:p>
    <w:p w:rsidR="004F2BE7" w:rsidRDefault="004F2BE7" w:rsidP="004F2BE7">
      <w:pPr>
        <w:pStyle w:val="a4"/>
        <w:spacing w:before="156" w:after="156"/>
        <w:ind w:firstLine="480"/>
        <w:rPr>
          <w:lang w:eastAsia="zh-CN"/>
        </w:rPr>
      </w:pPr>
      <w:r>
        <w:rPr>
          <w:rFonts w:hint="eastAsia"/>
          <w:lang w:eastAsia="zh-CN"/>
        </w:rPr>
        <w:t>值得注意的是，《条例》以防范系统性金融风险为底线，丰富监管手段。其中明确，强化支付领域反垄断监管措施，明确界定相关市场范围以及市场支配地位认定标准，维护公平竞争市场秩序。根据《条例》，有“一个非银行支付机构在全国电子支付市场的市场份额达到二分之一”等情形的，央行可以商请国务院反垄断执法机构审查支付机构是否具有市场支配地位。</w:t>
      </w:r>
    </w:p>
    <w:p w:rsidR="004F2BE7" w:rsidRDefault="004F2BE7" w:rsidP="004F2BE7">
      <w:pPr>
        <w:pStyle w:val="a4"/>
        <w:spacing w:before="156" w:after="156"/>
        <w:ind w:firstLine="480"/>
        <w:rPr>
          <w:lang w:eastAsia="zh-CN"/>
        </w:rPr>
      </w:pPr>
      <w:r>
        <w:rPr>
          <w:rFonts w:hint="eastAsia"/>
          <w:lang w:eastAsia="zh-CN"/>
        </w:rPr>
        <w:t>董希淼表示，《条例》与反垄断法有效衔接，赋予央行认定支付服务市场垄断地位的权限，填补了之前法律法规空白。《条例》在反垄断和防止资本无序扩张方面进行详细规定，是中央经济工作会议“强化反垄断和防止资本无序扩张”精神的具体体现，有助于加强支付服务市场反垄断规制，维护公平的市场竞争秩序，保护市场参与主体的合法权益，推动支付服务市场健康高质量发展。</w:t>
      </w:r>
    </w:p>
    <w:p w:rsidR="00425B93" w:rsidRDefault="008659C3">
      <w:pPr>
        <w:pStyle w:val="1"/>
        <w:spacing w:before="156" w:after="156"/>
      </w:pPr>
      <w:bookmarkStart w:id="18" w:name="_Toc62456431"/>
      <w:r>
        <w:rPr>
          <w:rFonts w:hint="eastAsia"/>
        </w:rPr>
        <w:t>【经济解读】</w:t>
      </w:r>
      <w:bookmarkEnd w:id="18"/>
    </w:p>
    <w:p w:rsidR="00425B93" w:rsidRDefault="00F620C5" w:rsidP="008659C3">
      <w:pPr>
        <w:pStyle w:val="2"/>
        <w:spacing w:before="156" w:after="156"/>
      </w:pPr>
      <w:bookmarkStart w:id="19" w:name="_Toc62456432"/>
      <w:r w:rsidRPr="00F620C5">
        <w:rPr>
          <w:rFonts w:hint="eastAsia"/>
        </w:rPr>
        <w:t>中国经济年报飘红彰显中外共赢合力</w:t>
      </w:r>
      <w:bookmarkEnd w:id="19"/>
    </w:p>
    <w:p w:rsidR="00F620C5" w:rsidRDefault="00F620C5" w:rsidP="00F620C5">
      <w:pPr>
        <w:pStyle w:val="a4"/>
        <w:spacing w:before="156" w:after="156"/>
        <w:ind w:firstLine="480"/>
        <w:rPr>
          <w:lang w:eastAsia="zh-CN"/>
        </w:rPr>
      </w:pPr>
      <w:r>
        <w:rPr>
          <w:rFonts w:hint="eastAsia"/>
          <w:lang w:eastAsia="zh-CN"/>
        </w:rPr>
        <w:t>超</w:t>
      </w:r>
      <w:r>
        <w:rPr>
          <w:lang w:eastAsia="zh-CN"/>
        </w:rPr>
        <w:t>32万亿元！超100万亿！近1万亿！</w:t>
      </w:r>
    </w:p>
    <w:p w:rsidR="00F620C5" w:rsidRDefault="00F620C5" w:rsidP="00F620C5">
      <w:pPr>
        <w:pStyle w:val="a4"/>
        <w:spacing w:before="156" w:after="156"/>
        <w:ind w:firstLine="480"/>
        <w:rPr>
          <w:lang w:eastAsia="zh-CN"/>
        </w:rPr>
      </w:pPr>
      <w:r>
        <w:rPr>
          <w:rFonts w:hint="eastAsia"/>
          <w:lang w:eastAsia="zh-CN"/>
        </w:rPr>
        <w:t>连日来，</w:t>
      </w:r>
      <w:r>
        <w:rPr>
          <w:lang w:eastAsia="zh-CN"/>
        </w:rPr>
        <w:t>2020年中国货物贸易进出口额、国内生产总值（GDP）和实际使用外资等关键指标接连飘红亮相，实现逆势增长，彰显了双循环新发展格局下，中国与世界互利互惠的共赢合</w:t>
      </w:r>
      <w:r>
        <w:rPr>
          <w:lang w:eastAsia="zh-CN"/>
        </w:rPr>
        <w:lastRenderedPageBreak/>
        <w:t>力。</w:t>
      </w:r>
    </w:p>
    <w:p w:rsidR="00F620C5" w:rsidRDefault="00F620C5" w:rsidP="00F620C5">
      <w:pPr>
        <w:pStyle w:val="a4"/>
        <w:spacing w:before="156" w:after="156"/>
        <w:ind w:firstLine="480"/>
        <w:rPr>
          <w:lang w:eastAsia="zh-CN"/>
        </w:rPr>
      </w:pPr>
      <w:r>
        <w:rPr>
          <w:rFonts w:hint="eastAsia"/>
          <w:lang w:eastAsia="zh-CN"/>
        </w:rPr>
        <w:t>中国经济逆势复苏，取决于中国高效得力的疫情防控举措和治理能力，有赖于中国作为世界工厂和“超大市场”的独特优势，也获益于中外合作伙伴维护全球供应链稳定的强大共识与协作。</w:t>
      </w:r>
    </w:p>
    <w:p w:rsidR="00F620C5" w:rsidRDefault="00F620C5" w:rsidP="00F620C5">
      <w:pPr>
        <w:pStyle w:val="a4"/>
        <w:spacing w:before="156" w:after="156"/>
        <w:ind w:firstLine="480"/>
        <w:rPr>
          <w:lang w:eastAsia="zh-CN"/>
        </w:rPr>
      </w:pPr>
      <w:r>
        <w:rPr>
          <w:rFonts w:hint="eastAsia"/>
          <w:lang w:eastAsia="zh-CN"/>
        </w:rPr>
        <w:t>疫情汹汹，却难阻断中外产经融通的活水。</w:t>
      </w:r>
      <w:r>
        <w:rPr>
          <w:lang w:eastAsia="zh-CN"/>
        </w:rPr>
        <w:t>2020年，中欧班列逆势跑出加速度，开行逾万列，刷新纪录；与起降的航班、繁忙的水上航道一起，构成连通中外的经济动脉，为各端口的合作伙伴输送丰厚回报。</w:t>
      </w:r>
    </w:p>
    <w:p w:rsidR="00F620C5" w:rsidRDefault="00F620C5" w:rsidP="00F620C5">
      <w:pPr>
        <w:pStyle w:val="a4"/>
        <w:spacing w:before="156" w:after="156"/>
        <w:ind w:firstLine="480"/>
        <w:rPr>
          <w:lang w:eastAsia="zh-CN"/>
        </w:rPr>
      </w:pPr>
      <w:r>
        <w:rPr>
          <w:rFonts w:hint="eastAsia"/>
          <w:lang w:eastAsia="zh-CN"/>
        </w:rPr>
        <w:t>中国海关总署发布的数据显示，</w:t>
      </w:r>
      <w:r>
        <w:rPr>
          <w:lang w:eastAsia="zh-CN"/>
        </w:rPr>
        <w:t>2020年中国货物贸易进出口总值达32.16万亿元，比上年增长1.9%。过去一年，中国跃升为欧盟第一大商品贸易伙伴，与东盟实现互为第一大贸易伙伴。汇丰银行调查显示，中国成为亚太地区企业最大海外市场。</w:t>
      </w:r>
    </w:p>
    <w:p w:rsidR="00F620C5" w:rsidRDefault="00F620C5" w:rsidP="00F620C5">
      <w:pPr>
        <w:pStyle w:val="a4"/>
        <w:spacing w:before="156" w:after="156"/>
        <w:ind w:firstLine="480"/>
        <w:rPr>
          <w:lang w:eastAsia="zh-CN"/>
        </w:rPr>
      </w:pPr>
      <w:r>
        <w:rPr>
          <w:rFonts w:hint="eastAsia"/>
          <w:lang w:eastAsia="zh-CN"/>
        </w:rPr>
        <w:t>瑞士经济学家菲利普·内尔表示，中国已成为全球多个行业和经济部门的增长引擎。中国不断壮大的中等收入群体以及向消费驱动型转变将有助于全球贸易发展。</w:t>
      </w:r>
    </w:p>
    <w:p w:rsidR="00F620C5" w:rsidRDefault="00F620C5" w:rsidP="00F620C5">
      <w:pPr>
        <w:pStyle w:val="a4"/>
        <w:spacing w:before="156" w:after="156"/>
        <w:ind w:firstLine="480"/>
        <w:rPr>
          <w:lang w:eastAsia="zh-CN"/>
        </w:rPr>
      </w:pPr>
      <w:r>
        <w:rPr>
          <w:rFonts w:hint="eastAsia"/>
          <w:lang w:eastAsia="zh-CN"/>
        </w:rPr>
        <w:t>在欧美，中国市场为众多跨国公司创造了大额利润；在日本，由于中国市场的旺盛需求超出预期，制造业企业近来接连上调业绩预期；在东南亚，中国带来了紧缺的原料和需求，让一度停产的工厂恢复活力。</w:t>
      </w:r>
    </w:p>
    <w:p w:rsidR="00F620C5" w:rsidRDefault="00F620C5" w:rsidP="00F620C5">
      <w:pPr>
        <w:pStyle w:val="a4"/>
        <w:spacing w:before="156" w:after="156"/>
        <w:ind w:firstLine="480"/>
        <w:rPr>
          <w:lang w:eastAsia="zh-CN"/>
        </w:rPr>
      </w:pPr>
      <w:r>
        <w:rPr>
          <w:rFonts w:hint="eastAsia"/>
          <w:lang w:eastAsia="zh-CN"/>
        </w:rPr>
        <w:t>经济合作与发展组织中国政策研究室主任玛吉特·莫尔纳指出，随着经济持续复苏，中国不仅将继续向其他国家提供所需产品，其对外国原材料和消费品的需求也逐步复苏，这对世界具有重要意义。</w:t>
      </w:r>
    </w:p>
    <w:p w:rsidR="00F620C5" w:rsidRDefault="00F620C5" w:rsidP="00F620C5">
      <w:pPr>
        <w:pStyle w:val="a4"/>
        <w:spacing w:before="156" w:after="156"/>
        <w:ind w:firstLine="480"/>
        <w:rPr>
          <w:lang w:eastAsia="zh-CN"/>
        </w:rPr>
      </w:pPr>
      <w:r>
        <w:rPr>
          <w:rFonts w:hint="eastAsia"/>
          <w:lang w:eastAsia="zh-CN"/>
        </w:rPr>
        <w:t>国际货币基金组织（</w:t>
      </w:r>
      <w:r>
        <w:rPr>
          <w:lang w:eastAsia="zh-CN"/>
        </w:rPr>
        <w:t>IMF）亚太部助理主任、中国事务主管黑尔格·贝格尔表示，中国经济复苏为全球经济带来积极的溢出效应。中国经济增长促使企业进口更多原材料、零部件和消费品，增加对中国贸易伙伴的进口需求，提振全球贸易。</w:t>
      </w:r>
    </w:p>
    <w:p w:rsidR="00F620C5" w:rsidRDefault="00F620C5" w:rsidP="00F620C5">
      <w:pPr>
        <w:pStyle w:val="a4"/>
        <w:spacing w:before="156" w:after="156"/>
        <w:ind w:firstLine="480"/>
        <w:rPr>
          <w:lang w:eastAsia="zh-CN"/>
        </w:rPr>
      </w:pPr>
      <w:r>
        <w:rPr>
          <w:rFonts w:hint="eastAsia"/>
          <w:lang w:eastAsia="zh-CN"/>
        </w:rPr>
        <w:t>过去一年，中国持续推进高水平开放，广纳百川，让更多外国投资者有机会来华投资兴业，分享发展机遇。</w:t>
      </w:r>
    </w:p>
    <w:p w:rsidR="00F620C5" w:rsidRDefault="00F620C5" w:rsidP="00F620C5">
      <w:pPr>
        <w:pStyle w:val="a4"/>
        <w:spacing w:before="156" w:after="156"/>
        <w:ind w:firstLine="480"/>
        <w:rPr>
          <w:lang w:eastAsia="zh-CN"/>
        </w:rPr>
      </w:pPr>
      <w:r>
        <w:rPr>
          <w:rFonts w:hint="eastAsia"/>
          <w:lang w:eastAsia="zh-CN"/>
        </w:rPr>
        <w:t>商务部的数据显示，</w:t>
      </w:r>
      <w:r>
        <w:rPr>
          <w:lang w:eastAsia="zh-CN"/>
        </w:rPr>
        <w:t>2020年全国非金融领域实际使用外资9999.8亿元，同比增长6.2%，全年新设立外商投资企业38570家，实现引资总量、增长幅度、全球占比“三提升”。分析人士指出，伴随开放大门越开越宽，更多外企得以进入更多领域，享受国民待遇，收获开放红利。</w:t>
      </w:r>
    </w:p>
    <w:p w:rsidR="00F620C5" w:rsidRDefault="00F620C5" w:rsidP="00F620C5">
      <w:pPr>
        <w:pStyle w:val="a4"/>
        <w:spacing w:before="156" w:after="156"/>
        <w:ind w:firstLine="480"/>
        <w:rPr>
          <w:lang w:eastAsia="zh-CN"/>
        </w:rPr>
      </w:pPr>
      <w:r>
        <w:rPr>
          <w:rFonts w:hint="eastAsia"/>
          <w:lang w:eastAsia="zh-CN"/>
        </w:rPr>
        <w:t>同时，不断开放扩容的中国金融市场也为全球投资者提供了难得的避风港和增值机会。</w:t>
      </w:r>
    </w:p>
    <w:p w:rsidR="00F620C5" w:rsidRDefault="00F620C5" w:rsidP="00F620C5">
      <w:pPr>
        <w:pStyle w:val="a4"/>
        <w:spacing w:before="156" w:after="156"/>
        <w:ind w:firstLine="480"/>
        <w:rPr>
          <w:lang w:eastAsia="zh-CN"/>
        </w:rPr>
      </w:pPr>
      <w:r>
        <w:rPr>
          <w:rFonts w:hint="eastAsia"/>
          <w:lang w:eastAsia="zh-CN"/>
        </w:rPr>
        <w:t>桥水基金创始人瑞·达利欧指出，中国经济从疫情中恢复，其股票和债券相继被纳入有全</w:t>
      </w:r>
      <w:r>
        <w:rPr>
          <w:rFonts w:hint="eastAsia"/>
          <w:lang w:eastAsia="zh-CN"/>
        </w:rPr>
        <w:lastRenderedPageBreak/>
        <w:t>球影响的金融指数中，这都增强了中国对外资的吸引力。许多分析人士和资金管理者认为，未来数年，国际投资者将继续加大在中国的资产配置。</w:t>
      </w:r>
    </w:p>
    <w:p w:rsidR="00F620C5" w:rsidRDefault="00F620C5" w:rsidP="00F620C5">
      <w:pPr>
        <w:pStyle w:val="a4"/>
        <w:spacing w:before="156" w:after="156"/>
        <w:ind w:firstLine="480"/>
        <w:rPr>
          <w:lang w:eastAsia="zh-CN"/>
        </w:rPr>
      </w:pPr>
      <w:r>
        <w:rPr>
          <w:lang w:eastAsia="zh-CN"/>
        </w:rPr>
        <w:t>2020年也是中国携手合作伙伴、进一步推进多边合作的重要一年。临近年底，《区域全面经济伙伴关系协定》（RCEP）正式签署，中欧完成投资协定谈判。此外，服贸会、进博会、东博会等为经贸合作提供了宝贵平台。</w:t>
      </w:r>
    </w:p>
    <w:p w:rsidR="00F620C5" w:rsidRDefault="00F620C5" w:rsidP="00F620C5">
      <w:pPr>
        <w:pStyle w:val="a4"/>
        <w:spacing w:before="156" w:after="156"/>
        <w:ind w:firstLine="480"/>
        <w:rPr>
          <w:lang w:eastAsia="zh-CN"/>
        </w:rPr>
      </w:pPr>
      <w:r>
        <w:rPr>
          <w:rFonts w:hint="eastAsia"/>
          <w:lang w:eastAsia="zh-CN"/>
        </w:rPr>
        <w:t>巴西中国问题研究中心主任罗尼·林斯说，</w:t>
      </w:r>
      <w:r>
        <w:rPr>
          <w:lang w:eastAsia="zh-CN"/>
        </w:rPr>
        <w:t>RCEP可减少国际贸易壁垒，这是加强各国经济联系的正确方法。“各国越是重视多边主义，就越容易取得成功。”</w:t>
      </w:r>
    </w:p>
    <w:p w:rsidR="00F620C5" w:rsidRDefault="00F620C5" w:rsidP="00F620C5">
      <w:pPr>
        <w:pStyle w:val="a4"/>
        <w:spacing w:before="156" w:after="156"/>
        <w:ind w:firstLine="480"/>
        <w:rPr>
          <w:lang w:eastAsia="zh-CN"/>
        </w:rPr>
      </w:pPr>
      <w:r>
        <w:rPr>
          <w:rFonts w:hint="eastAsia"/>
          <w:lang w:eastAsia="zh-CN"/>
        </w:rPr>
        <w:t>中国欧盟商会会长约尔格·武特克表示，中欧投资协定将给双方带来实实在在的益处，包括更多产品选择和更多市场机遇等。如期完成谈判也是对保护主义的回击。</w:t>
      </w:r>
    </w:p>
    <w:p w:rsidR="00F620C5" w:rsidRDefault="00F620C5" w:rsidP="00F620C5">
      <w:pPr>
        <w:pStyle w:val="a4"/>
        <w:spacing w:before="156" w:after="156"/>
        <w:ind w:firstLine="480"/>
        <w:rPr>
          <w:lang w:eastAsia="zh-CN"/>
        </w:rPr>
      </w:pPr>
      <w:r>
        <w:rPr>
          <w:rFonts w:hint="eastAsia"/>
          <w:lang w:eastAsia="zh-CN"/>
        </w:rPr>
        <w:t>“一个更加开放、包容、创新、更加可持续、更加有担当的中国正张开双臂，与世界美美与共。”欧莱雅集团首席执行官让</w:t>
      </w:r>
      <w:r>
        <w:rPr>
          <w:lang w:eastAsia="zh-CN"/>
        </w:rPr>
        <w:t>-保罗·安巩说。</w:t>
      </w:r>
    </w:p>
    <w:p w:rsidR="00F620C5" w:rsidRPr="00F620C5" w:rsidRDefault="00F620C5" w:rsidP="00F620C5">
      <w:pPr>
        <w:pStyle w:val="a4"/>
        <w:spacing w:before="156" w:after="156"/>
        <w:ind w:firstLine="480"/>
        <w:rPr>
          <w:lang w:eastAsia="zh-CN"/>
        </w:rPr>
      </w:pPr>
      <w:r>
        <w:rPr>
          <w:rFonts w:hint="eastAsia"/>
          <w:lang w:eastAsia="zh-CN"/>
        </w:rPr>
        <w:t>在双循环的新发展格局下，成功的疫情防控叠加政策红利，赋予中国经济强大内生动力和比较优势，不断丰富扩展中外互利互惠的内涵和外延。在这样的共赢合力驱动下，中国必将携手合作伙伴，创造更多发展奇迹。</w:t>
      </w:r>
    </w:p>
    <w:p w:rsidR="00425B93" w:rsidRDefault="008659C3">
      <w:pPr>
        <w:pStyle w:val="1"/>
        <w:spacing w:before="156" w:after="156"/>
      </w:pPr>
      <w:bookmarkStart w:id="20" w:name="_Toc62456433"/>
      <w:r>
        <w:rPr>
          <w:rFonts w:hint="eastAsia"/>
        </w:rPr>
        <w:t>【金融市场】</w:t>
      </w:r>
      <w:bookmarkEnd w:id="20"/>
    </w:p>
    <w:p w:rsidR="00425B93" w:rsidRDefault="003B0C3A" w:rsidP="008659C3">
      <w:pPr>
        <w:pStyle w:val="2"/>
        <w:spacing w:before="156" w:after="156"/>
      </w:pPr>
      <w:bookmarkStart w:id="21" w:name="_Toc62456434"/>
      <w:r w:rsidRPr="003B0C3A">
        <w:rPr>
          <w:rFonts w:hint="eastAsia"/>
        </w:rPr>
        <w:t>资金创纪录井喷，券商隔空吵起来了！净流入</w:t>
      </w:r>
      <w:r w:rsidRPr="003B0C3A">
        <w:t>2300</w:t>
      </w:r>
      <w:r w:rsidRPr="003B0C3A">
        <w:t>多亿，南向资金抢夺港股定价权？</w:t>
      </w:r>
      <w:bookmarkEnd w:id="21"/>
    </w:p>
    <w:p w:rsidR="003B0C3A" w:rsidRDefault="003B0C3A" w:rsidP="003B0C3A">
      <w:pPr>
        <w:pStyle w:val="a4"/>
        <w:spacing w:before="156" w:after="156"/>
        <w:ind w:firstLine="480"/>
        <w:rPr>
          <w:lang w:eastAsia="zh-CN"/>
        </w:rPr>
      </w:pPr>
      <w:r>
        <w:rPr>
          <w:rFonts w:hint="eastAsia"/>
          <w:lang w:eastAsia="zh-CN"/>
        </w:rPr>
        <w:t>关于南下资金（即南向资金）能否夺下港股“定价权”，两家券商分析师“吵”起来了。</w:t>
      </w:r>
    </w:p>
    <w:p w:rsidR="003B0C3A" w:rsidRDefault="003B0C3A" w:rsidP="003B0C3A">
      <w:pPr>
        <w:pStyle w:val="a4"/>
        <w:spacing w:before="156" w:after="156"/>
        <w:ind w:firstLine="480"/>
        <w:rPr>
          <w:lang w:eastAsia="zh-CN"/>
        </w:rPr>
      </w:pPr>
      <w:r>
        <w:rPr>
          <w:lang w:eastAsia="zh-CN"/>
        </w:rPr>
        <w:t>1月22日，开源证券策略牟一凌团队发布题为《南下资金难夺“定价权”》的研究报告，认为南下资金涌入港股如果要“重夺定价权”，需要面对当下数倍于自身持仓且观点有所分歧的海外机构投资者，以少胜多难。</w:t>
      </w:r>
    </w:p>
    <w:p w:rsidR="003B0C3A" w:rsidRDefault="003B0C3A" w:rsidP="003B0C3A">
      <w:pPr>
        <w:pStyle w:val="a4"/>
        <w:spacing w:before="156" w:after="156"/>
        <w:ind w:firstLine="480"/>
        <w:rPr>
          <w:lang w:eastAsia="zh-CN"/>
        </w:rPr>
      </w:pPr>
      <w:r>
        <w:rPr>
          <w:rFonts w:hint="eastAsia"/>
          <w:lang w:eastAsia="zh-CN"/>
        </w:rPr>
        <w:t>而在</w:t>
      </w:r>
      <w:r>
        <w:rPr>
          <w:lang w:eastAsia="zh-CN"/>
        </w:rPr>
        <w:t>1月19日，国盛证券策略张启尧团队发布题为《南下资金改变港股》的研报，认为南下资金规模已超北上资金，未来南下资金将重现过去数年北上资金影响A股的历程，抢夺港股定价权并成为左右港股市场表现的决定性力量。</w:t>
      </w:r>
    </w:p>
    <w:p w:rsidR="003B0C3A" w:rsidRDefault="003B0C3A" w:rsidP="003B0C3A">
      <w:pPr>
        <w:pStyle w:val="a4"/>
        <w:spacing w:before="156" w:after="156"/>
        <w:ind w:firstLine="480"/>
        <w:rPr>
          <w:lang w:eastAsia="zh-CN"/>
        </w:rPr>
      </w:pPr>
      <w:r>
        <w:rPr>
          <w:rFonts w:hint="eastAsia"/>
          <w:lang w:eastAsia="zh-CN"/>
        </w:rPr>
        <w:t>事实上，南下资金开年以来持续大规模净流入，港股成为市场普遍看好的全球估值“洼地”。</w:t>
      </w:r>
    </w:p>
    <w:p w:rsidR="003B0C3A" w:rsidRPr="003B0C3A" w:rsidRDefault="003B0C3A" w:rsidP="003B0C3A">
      <w:pPr>
        <w:pStyle w:val="a4"/>
        <w:spacing w:before="156" w:after="156"/>
        <w:ind w:firstLine="482"/>
        <w:rPr>
          <w:b/>
          <w:bCs/>
          <w:lang w:eastAsia="zh-CN"/>
        </w:rPr>
      </w:pPr>
      <w:r w:rsidRPr="003B0C3A">
        <w:rPr>
          <w:rFonts w:hint="eastAsia"/>
          <w:b/>
          <w:bCs/>
          <w:lang w:eastAsia="zh-CN"/>
        </w:rPr>
        <w:t>券商激辩定价权</w:t>
      </w:r>
    </w:p>
    <w:p w:rsidR="003B0C3A" w:rsidRDefault="003B0C3A" w:rsidP="003B0C3A">
      <w:pPr>
        <w:pStyle w:val="a4"/>
        <w:spacing w:before="156" w:after="156"/>
        <w:ind w:firstLine="480"/>
        <w:rPr>
          <w:lang w:eastAsia="zh-CN"/>
        </w:rPr>
      </w:pPr>
      <w:r>
        <w:rPr>
          <w:lang w:eastAsia="zh-CN"/>
        </w:rPr>
        <w:t>2021年开年以来，南下资金持续大规模净流入港股，南下资金持有港股市值占比也在逐步</w:t>
      </w:r>
      <w:r>
        <w:rPr>
          <w:lang w:eastAsia="zh-CN"/>
        </w:rPr>
        <w:lastRenderedPageBreak/>
        <w:t>提升。与此同时，市场上关于南下资金能否夺取港股定价权的讨论随之展开。</w:t>
      </w:r>
    </w:p>
    <w:p w:rsidR="003B0C3A" w:rsidRDefault="003B0C3A" w:rsidP="003B0C3A">
      <w:pPr>
        <w:pStyle w:val="a4"/>
        <w:spacing w:before="156" w:after="156"/>
        <w:ind w:firstLine="480"/>
        <w:rPr>
          <w:lang w:eastAsia="zh-CN"/>
        </w:rPr>
      </w:pPr>
      <w:r>
        <w:rPr>
          <w:lang w:eastAsia="zh-CN"/>
        </w:rPr>
        <w:t>1月19日，国盛证券策略张启尧团队发布了题为《南下资金改变港股》的研究报告，高度肯定了南下资金在港股市场的重要增量和压舱石作用。</w:t>
      </w:r>
    </w:p>
    <w:p w:rsidR="003B0C3A" w:rsidRDefault="003B0C3A" w:rsidP="003B0C3A">
      <w:pPr>
        <w:pStyle w:val="a4"/>
        <w:spacing w:before="156" w:after="156"/>
        <w:ind w:firstLine="480"/>
        <w:rPr>
          <w:lang w:eastAsia="zh-CN"/>
        </w:rPr>
      </w:pPr>
      <w:r>
        <w:rPr>
          <w:rFonts w:hint="eastAsia"/>
          <w:lang w:eastAsia="zh-CN"/>
        </w:rPr>
        <w:t>该报告称，随着近年来资金持续南下流入港股，已成为港股市场一股不可忽视的力量。截至</w:t>
      </w:r>
      <w:r>
        <w:rPr>
          <w:lang w:eastAsia="zh-CN"/>
        </w:rPr>
        <w:t>2020年末，港股通累计持有港股市值近2.1万亿港元，占港股总市值4.4%的比重。交易层面看，据测算，2020年港股通参与的交易已占到港股市场总成交额18%左右。考虑到交易的双向性，即占港股总成交额的9%。同时，假设2020年港股通以外的内资成交占比维持6%不变，则2020年来自中国内地的资金占港股市场总成交金额的比重已提升至15%左右，占港股外地资金比重的1/3以上。</w:t>
      </w:r>
    </w:p>
    <w:p w:rsidR="003B0C3A" w:rsidRDefault="003B0C3A" w:rsidP="003B0C3A">
      <w:pPr>
        <w:pStyle w:val="a4"/>
        <w:spacing w:before="156" w:after="156"/>
        <w:ind w:firstLine="480"/>
        <w:rPr>
          <w:lang w:eastAsia="zh-CN"/>
        </w:rPr>
      </w:pPr>
      <w:r>
        <w:rPr>
          <w:rFonts w:hint="eastAsia"/>
          <w:lang w:eastAsia="zh-CN"/>
        </w:rPr>
        <w:t>最后，张启尧团队得出结论：当前港股通南下资金规模已超北上资金，且流入稳定性更强。未来，南下资金将重复过去数年北上资金影响</w:t>
      </w:r>
      <w:r>
        <w:rPr>
          <w:lang w:eastAsia="zh-CN"/>
        </w:rPr>
        <w:t>A股的历程，抢夺港股定价权。而港股市场也将同步经历估值体系向A股靠拢、估值系统性提升的过程。</w:t>
      </w:r>
    </w:p>
    <w:p w:rsidR="003B0C3A" w:rsidRDefault="003B0C3A" w:rsidP="003B0C3A">
      <w:pPr>
        <w:pStyle w:val="a4"/>
        <w:spacing w:before="156" w:after="156"/>
        <w:ind w:firstLine="480"/>
        <w:rPr>
          <w:lang w:eastAsia="zh-CN"/>
        </w:rPr>
      </w:pPr>
      <w:r>
        <w:rPr>
          <w:rFonts w:hint="eastAsia"/>
          <w:lang w:eastAsia="zh-CN"/>
        </w:rPr>
        <w:t>而在</w:t>
      </w:r>
      <w:r>
        <w:rPr>
          <w:lang w:eastAsia="zh-CN"/>
        </w:rPr>
        <w:t>1月22日，开源证券策略牟一凌团队发布了题为《南下资金难夺“定价权”》的研究报告。有意思的是，该报告在最开始提出“部分投资者认为南下加速流入将夺取对港股的‘定价权’”这一现象，随后便阐述南下资金难以争夺港股“定价权”。</w:t>
      </w:r>
    </w:p>
    <w:p w:rsidR="003B0C3A" w:rsidRDefault="003B0C3A" w:rsidP="003B0C3A">
      <w:pPr>
        <w:pStyle w:val="a4"/>
        <w:spacing w:before="156" w:after="156"/>
        <w:ind w:firstLine="480"/>
        <w:rPr>
          <w:lang w:eastAsia="zh-CN"/>
        </w:rPr>
      </w:pPr>
      <w:r>
        <w:rPr>
          <w:rFonts w:hint="eastAsia"/>
          <w:lang w:eastAsia="zh-CN"/>
        </w:rPr>
        <w:t>牟一凌团队称，通过拆解南下资金发现，无论是整体行为、还是风格配置抑或是对于南下净买入规模前</w:t>
      </w:r>
      <w:r>
        <w:rPr>
          <w:lang w:eastAsia="zh-CN"/>
        </w:rPr>
        <w:t>30的组合，外资配置型资金与南下资金均存在明显的分歧。对于南下资金而言，短期内与体量较大的外资配置型资金争夺港股“定价权”可能存在较大难度。</w:t>
      </w:r>
    </w:p>
    <w:p w:rsidR="003B0C3A" w:rsidRDefault="003B0C3A" w:rsidP="003B0C3A">
      <w:pPr>
        <w:pStyle w:val="a4"/>
        <w:spacing w:before="156" w:after="156"/>
        <w:ind w:firstLine="480"/>
        <w:rPr>
          <w:lang w:eastAsia="zh-CN"/>
        </w:rPr>
      </w:pPr>
      <w:r>
        <w:rPr>
          <w:rFonts w:hint="eastAsia"/>
          <w:lang w:eastAsia="zh-CN"/>
        </w:rPr>
        <w:t>牟一凌团队认为，分歧之下，南下资金以少胜多难。当下南下资金持有市值占港股比重较低，约占</w:t>
      </w:r>
      <w:r>
        <w:rPr>
          <w:lang w:eastAsia="zh-CN"/>
        </w:rPr>
        <w:t>4.84%。结构上，从存量来看保险资金仍是主要力量。但多种迹象表明公募基金成了近期的边际力量：潜在能投资港股的基金数量的提升以及居民对港股相关基金的申购行为为本轮公募南下提供了“弹药”，这成为本轮公募南下的重要助推力量。</w:t>
      </w:r>
    </w:p>
    <w:p w:rsidR="003B0C3A" w:rsidRDefault="003B0C3A" w:rsidP="003B0C3A">
      <w:pPr>
        <w:pStyle w:val="a4"/>
        <w:spacing w:before="156" w:after="156"/>
        <w:ind w:firstLine="480"/>
        <w:rPr>
          <w:lang w:eastAsia="zh-CN"/>
        </w:rPr>
      </w:pPr>
      <w:r>
        <w:rPr>
          <w:rFonts w:hint="eastAsia"/>
          <w:lang w:eastAsia="zh-CN"/>
        </w:rPr>
        <w:t>牟一凌团队指出，南下资金涌入港股如果要“重夺定价权”，需要面对当下数倍于自身持仓且观点有所分歧的海外机构投资者。“重夺定价权”需要准备更充足的“弹药”接过分歧者手中的筹码，让他们获利离场。相对于“定价权”的宏大追求，更聪明的做法或许是寻找对手盘优势较弱的板块，进行基于基本面的价值发现。</w:t>
      </w:r>
    </w:p>
    <w:p w:rsidR="003B0C3A" w:rsidRPr="003B0C3A" w:rsidRDefault="003B0C3A" w:rsidP="003B0C3A">
      <w:pPr>
        <w:pStyle w:val="a4"/>
        <w:spacing w:before="156" w:after="156"/>
        <w:ind w:firstLine="482"/>
        <w:rPr>
          <w:b/>
          <w:bCs/>
          <w:lang w:eastAsia="zh-CN"/>
        </w:rPr>
      </w:pPr>
      <w:r w:rsidRPr="003B0C3A">
        <w:rPr>
          <w:rFonts w:hint="eastAsia"/>
          <w:b/>
          <w:bCs/>
          <w:lang w:eastAsia="zh-CN"/>
        </w:rPr>
        <w:t>南下资金连续</w:t>
      </w:r>
      <w:r w:rsidRPr="003B0C3A">
        <w:rPr>
          <w:b/>
          <w:bCs/>
          <w:lang w:eastAsia="zh-CN"/>
        </w:rPr>
        <w:t>23日净流入</w:t>
      </w:r>
    </w:p>
    <w:p w:rsidR="003B0C3A" w:rsidRDefault="003B0C3A" w:rsidP="003B0C3A">
      <w:pPr>
        <w:pStyle w:val="a4"/>
        <w:spacing w:before="156" w:after="156"/>
        <w:ind w:firstLine="480"/>
        <w:rPr>
          <w:lang w:eastAsia="zh-CN"/>
        </w:rPr>
      </w:pPr>
      <w:r>
        <w:rPr>
          <w:rFonts w:hint="eastAsia"/>
          <w:lang w:eastAsia="zh-CN"/>
        </w:rPr>
        <w:t>作为令券商观点产生分歧的“当事者”，南下资金正以前所未有的速度流入港股。据</w:t>
      </w:r>
      <w:r>
        <w:rPr>
          <w:lang w:eastAsia="zh-CN"/>
        </w:rPr>
        <w:t>Wind</w:t>
      </w:r>
      <w:r>
        <w:rPr>
          <w:lang w:eastAsia="zh-CN"/>
        </w:rPr>
        <w:lastRenderedPageBreak/>
        <w:t>数据，1月22日南下资金净流入93.66亿港元，为连续第23个交易日净流入。</w:t>
      </w:r>
    </w:p>
    <w:p w:rsidR="003B0C3A" w:rsidRDefault="003B0C3A" w:rsidP="003B0C3A">
      <w:pPr>
        <w:pStyle w:val="a4"/>
        <w:spacing w:before="156" w:after="156"/>
        <w:ind w:firstLine="480"/>
        <w:rPr>
          <w:lang w:eastAsia="zh-CN"/>
        </w:rPr>
      </w:pPr>
      <w:r>
        <w:rPr>
          <w:rFonts w:hint="eastAsia"/>
          <w:lang w:eastAsia="zh-CN"/>
        </w:rPr>
        <w:t>值得注意的是，</w:t>
      </w:r>
      <w:r>
        <w:rPr>
          <w:lang w:eastAsia="zh-CN"/>
        </w:rPr>
        <w:t>2021年开年以来（1月4日-21日）的14个交易日，南下资金日均净流入规模均超百亿港元，其中1月18日、19日、20日的规模超过200亿港元。</w:t>
      </w:r>
    </w:p>
    <w:p w:rsidR="003B0C3A" w:rsidRDefault="003B0C3A" w:rsidP="003B0C3A">
      <w:pPr>
        <w:pStyle w:val="a4"/>
        <w:spacing w:before="156" w:after="156"/>
        <w:ind w:firstLine="480"/>
        <w:rPr>
          <w:lang w:eastAsia="zh-CN"/>
        </w:rPr>
      </w:pPr>
      <w:r>
        <w:rPr>
          <w:lang w:eastAsia="zh-CN"/>
        </w:rPr>
        <w:t>2021年开年以来，南下资金已累计净流入2312.11亿港元（1933.63亿元人民币），接近2020年全年净流入金额（6721.25亿港元）的1/3。</w:t>
      </w:r>
    </w:p>
    <w:p w:rsidR="003B0C3A" w:rsidRDefault="003B0C3A" w:rsidP="003B0C3A">
      <w:pPr>
        <w:pStyle w:val="a4"/>
        <w:spacing w:before="156" w:after="156"/>
        <w:ind w:firstLine="480"/>
        <w:rPr>
          <w:lang w:eastAsia="zh-CN"/>
        </w:rPr>
      </w:pPr>
      <w:r>
        <w:rPr>
          <w:rFonts w:hint="eastAsia"/>
          <w:lang w:eastAsia="zh-CN"/>
        </w:rPr>
        <w:t>南下资金持续大额净流入的背后，是机构对港股的普遍看好。</w:t>
      </w:r>
    </w:p>
    <w:p w:rsidR="003B0C3A" w:rsidRDefault="003B0C3A" w:rsidP="003B0C3A">
      <w:pPr>
        <w:pStyle w:val="a4"/>
        <w:spacing w:before="156" w:after="156"/>
        <w:ind w:firstLine="480"/>
        <w:rPr>
          <w:lang w:eastAsia="zh-CN"/>
        </w:rPr>
      </w:pPr>
      <w:r>
        <w:rPr>
          <w:rFonts w:hint="eastAsia"/>
          <w:lang w:eastAsia="zh-CN"/>
        </w:rPr>
        <w:t>天风证券首席宏观分析师宋雪涛指出，从全年来看，港股的投资机会应该好于过去两年。去年</w:t>
      </w:r>
      <w:r>
        <w:rPr>
          <w:lang w:eastAsia="zh-CN"/>
        </w:rPr>
        <w:t>12月以来，看多港股的声音就越来越多，但最近南下资金大举买入港股，还是遇到了催化剂，让看多港股成为共识。</w:t>
      </w:r>
    </w:p>
    <w:p w:rsidR="003B0C3A" w:rsidRDefault="003B0C3A" w:rsidP="003B0C3A">
      <w:pPr>
        <w:pStyle w:val="a4"/>
        <w:spacing w:before="156" w:after="156"/>
        <w:ind w:firstLine="480"/>
        <w:rPr>
          <w:lang w:eastAsia="zh-CN"/>
        </w:rPr>
      </w:pPr>
      <w:r>
        <w:rPr>
          <w:rFonts w:hint="eastAsia"/>
          <w:lang w:eastAsia="zh-CN"/>
        </w:rPr>
        <w:t>上投标普港股通低波红利指数基金经理在刚披露的四季报中表示，配置港股的吸引力正在进一步提升。首先，目前香港经济正处于触底反弹阶段，未来会随着内地和全球经济的复苏而进一步复苏。其次，从资金面看，近年来内地资金持续南下流入港股；同时，美元贬值人民币升值趋势明显，而香港背靠内地优质的人民币资产，有利于吸引海外资金流入。第三，</w:t>
      </w:r>
      <w:r>
        <w:rPr>
          <w:lang w:eastAsia="zh-CN"/>
        </w:rPr>
        <w:t>AH股的溢价处在近十年来的历史最高位，长期看港股估值有较大的扩张空间，南下资金的持续流入，抢夺港股定价权，也有望加速港股的估值体系向A股靠拢。</w:t>
      </w:r>
    </w:p>
    <w:p w:rsidR="003B0C3A" w:rsidRPr="003B0C3A" w:rsidRDefault="003B0C3A" w:rsidP="003B0C3A">
      <w:pPr>
        <w:pStyle w:val="a4"/>
        <w:spacing w:before="156" w:after="156"/>
        <w:ind w:firstLine="480"/>
        <w:rPr>
          <w:lang w:eastAsia="zh-CN"/>
        </w:rPr>
      </w:pPr>
      <w:r>
        <w:rPr>
          <w:rFonts w:hint="eastAsia"/>
          <w:lang w:eastAsia="zh-CN"/>
        </w:rPr>
        <w:t>在具体配置方向上，中金公司建议，当前港股可以从以下四条思路选股：一是优质互联网及科技领域龙头；二是</w:t>
      </w:r>
      <w:r>
        <w:rPr>
          <w:lang w:eastAsia="zh-CN"/>
        </w:rPr>
        <w:t>A/H两地上市港股大幅折价、大市值、估值偏低、基本面稳健或改善的港股；三是A股相对稀缺或在港股具备特色的独特公司；四是近期受事件影响估值大幅下降的龙头蓝筹公司。</w:t>
      </w:r>
    </w:p>
    <w:p w:rsidR="00425B93" w:rsidRDefault="00D703C5" w:rsidP="008659C3">
      <w:pPr>
        <w:pStyle w:val="2"/>
        <w:spacing w:before="156" w:after="156"/>
      </w:pPr>
      <w:bookmarkStart w:id="22" w:name="_Toc62456435"/>
      <w:r w:rsidRPr="00D703C5">
        <w:rPr>
          <w:rFonts w:hint="eastAsia"/>
        </w:rPr>
        <w:t>公募基金规模首超</w:t>
      </w:r>
      <w:r w:rsidRPr="00D703C5">
        <w:t>20</w:t>
      </w:r>
      <w:r w:rsidRPr="00D703C5">
        <w:t>万亿元！金牛基金</w:t>
      </w:r>
      <w:r w:rsidRPr="00D703C5">
        <w:t>“</w:t>
      </w:r>
      <w:r w:rsidRPr="00D703C5">
        <w:t>吸金力</w:t>
      </w:r>
      <w:r w:rsidRPr="00D703C5">
        <w:t>”</w:t>
      </w:r>
      <w:r w:rsidRPr="00D703C5">
        <w:t>强</w:t>
      </w:r>
      <w:bookmarkEnd w:id="22"/>
    </w:p>
    <w:p w:rsidR="00D703C5" w:rsidRDefault="00D703C5" w:rsidP="00D703C5">
      <w:pPr>
        <w:pStyle w:val="a4"/>
        <w:spacing w:before="156" w:after="156"/>
        <w:ind w:firstLine="480"/>
        <w:rPr>
          <w:lang w:eastAsia="zh-CN"/>
        </w:rPr>
      </w:pPr>
      <w:r>
        <w:rPr>
          <w:lang w:eastAsia="zh-CN"/>
        </w:rPr>
        <w:t>2020年基金四季报显示，截至去年12月底，公募基金规模首次超过20万亿元。2020年四季度，不少绩优老基金获青睐，规模大幅增加，但多只去年成立的爆款基金遭遇大规模赎回，有爆款基金从去年成立到年底净赎回率达到70%。</w:t>
      </w:r>
    </w:p>
    <w:p w:rsidR="00D703C5" w:rsidRPr="00D703C5" w:rsidRDefault="00D703C5" w:rsidP="00D703C5">
      <w:pPr>
        <w:pStyle w:val="a4"/>
        <w:spacing w:before="156" w:after="156"/>
        <w:ind w:firstLine="482"/>
        <w:rPr>
          <w:b/>
          <w:bCs/>
          <w:lang w:eastAsia="zh-CN"/>
        </w:rPr>
      </w:pPr>
      <w:r w:rsidRPr="00D703C5">
        <w:rPr>
          <w:rFonts w:hint="eastAsia"/>
          <w:b/>
          <w:bCs/>
          <w:lang w:eastAsia="zh-CN"/>
        </w:rPr>
        <w:t>货基和</w:t>
      </w:r>
      <w:r w:rsidRPr="00D703C5">
        <w:rPr>
          <w:b/>
          <w:bCs/>
          <w:lang w:eastAsia="zh-CN"/>
        </w:rPr>
        <w:t>FOF获净申购</w:t>
      </w:r>
    </w:p>
    <w:p w:rsidR="00D703C5" w:rsidRDefault="00D703C5" w:rsidP="00D703C5">
      <w:pPr>
        <w:pStyle w:val="a4"/>
        <w:spacing w:before="156" w:after="156"/>
        <w:ind w:firstLine="480"/>
        <w:rPr>
          <w:lang w:eastAsia="zh-CN"/>
        </w:rPr>
      </w:pPr>
      <w:r>
        <w:rPr>
          <w:rFonts w:hint="eastAsia"/>
          <w:lang w:eastAsia="zh-CN"/>
        </w:rPr>
        <w:t>天相投顾数据显示，</w:t>
      </w:r>
      <w:r>
        <w:rPr>
          <w:lang w:eastAsia="zh-CN"/>
        </w:rPr>
        <w:t>2020年四季度公募基金（含联接基金）总体出现净申购，净申购6433.79亿份，净申购比例为4.04%。净申购的基金类型主要是货币型基金，净申购份额达8250.72亿份，申购比例为11.43%，另外，FOF净申购份额为23.15亿份，申购比例为3.49%。</w:t>
      </w:r>
    </w:p>
    <w:p w:rsidR="00D703C5" w:rsidRDefault="00D703C5" w:rsidP="00D703C5">
      <w:pPr>
        <w:pStyle w:val="a4"/>
        <w:spacing w:before="156" w:after="156"/>
        <w:ind w:firstLine="480"/>
        <w:rPr>
          <w:lang w:eastAsia="zh-CN"/>
        </w:rPr>
      </w:pPr>
      <w:r>
        <w:rPr>
          <w:rFonts w:hint="eastAsia"/>
          <w:lang w:eastAsia="zh-CN"/>
        </w:rPr>
        <w:t>其他各类基金均出现不同份额的净赎回。混合型基金净赎回份额最多，净赎回</w:t>
      </w:r>
      <w:r>
        <w:rPr>
          <w:lang w:eastAsia="zh-CN"/>
        </w:rPr>
        <w:t>998.38亿份，</w:t>
      </w:r>
      <w:r>
        <w:rPr>
          <w:lang w:eastAsia="zh-CN"/>
        </w:rPr>
        <w:lastRenderedPageBreak/>
        <w:t>赎回比例为3.47%。商品型基金赎回比例最高，净赎回19.02亿份，赎回比例为8.31%。股票型基金净赎回305.45亿份，赎回比例为2.60%，其中，指数型基金净赎回90.59亿份，赎回比例为0.01%，积极投资股票型基金净赎回214.85亿份，赎回比例为0.06%。债券型基金净赎回454.25亿份，赎回比例为1.02%。QDII基金净赎回62.98亿份，赎回比例为5.88%。</w:t>
      </w:r>
    </w:p>
    <w:p w:rsidR="00D703C5" w:rsidRDefault="00D703C5" w:rsidP="00D703C5">
      <w:pPr>
        <w:pStyle w:val="a4"/>
        <w:spacing w:before="156" w:after="156"/>
        <w:ind w:firstLine="480"/>
        <w:rPr>
          <w:lang w:eastAsia="zh-CN"/>
        </w:rPr>
      </w:pPr>
      <w:r>
        <w:rPr>
          <w:rFonts w:hint="eastAsia"/>
          <w:lang w:eastAsia="zh-CN"/>
        </w:rPr>
        <w:t>在纳入统计的</w:t>
      </w:r>
      <w:r>
        <w:rPr>
          <w:lang w:eastAsia="zh-CN"/>
        </w:rPr>
        <w:t>143家公司中，有82家公司实现净申购。净申购份额超过100亿份的有21家公司，银华基金、工银瑞信基金、广发基金三家公司净申购份额最多，分别为688.80亿份、628.19亿份、616.63亿份。在申购比例方面，共有36家公司净申购比例超过10%，净申购比例最高的是人保资产、泰信基金、华宸未来基金，净申购比例分别达到86.01%、73.23%、61.45%。在出现净赎回的公司中，有5家公司净赎回份额超过100亿份，有24家公司净赎回比例超过10%。</w:t>
      </w:r>
    </w:p>
    <w:p w:rsidR="00D703C5" w:rsidRPr="00D703C5" w:rsidRDefault="00D703C5" w:rsidP="00D703C5">
      <w:pPr>
        <w:pStyle w:val="a4"/>
        <w:spacing w:before="156" w:after="156"/>
        <w:ind w:firstLine="482"/>
        <w:rPr>
          <w:b/>
          <w:bCs/>
          <w:lang w:eastAsia="zh-CN"/>
        </w:rPr>
      </w:pPr>
      <w:r w:rsidRPr="00D703C5">
        <w:rPr>
          <w:rFonts w:hint="eastAsia"/>
          <w:b/>
          <w:bCs/>
          <w:lang w:eastAsia="zh-CN"/>
        </w:rPr>
        <w:t>多只爆款权益类基金缩水</w:t>
      </w:r>
    </w:p>
    <w:p w:rsidR="00D703C5" w:rsidRDefault="00D703C5" w:rsidP="00D703C5">
      <w:pPr>
        <w:pStyle w:val="a4"/>
        <w:spacing w:before="156" w:after="156"/>
        <w:ind w:firstLine="480"/>
        <w:rPr>
          <w:lang w:eastAsia="zh-CN"/>
        </w:rPr>
      </w:pPr>
      <w:r>
        <w:rPr>
          <w:lang w:eastAsia="zh-CN"/>
        </w:rPr>
        <w:t>2020年，基金发行市场火热，全年新成立基金发行份额突破3万亿份，创历史纪录。同时，爆款基金频出，40只基金发行份额超过100亿份。不过，基金四季报显示，多只爆款基金规模大幅缩水。</w:t>
      </w:r>
    </w:p>
    <w:p w:rsidR="00D703C5" w:rsidRDefault="00D703C5" w:rsidP="00D703C5">
      <w:pPr>
        <w:pStyle w:val="a4"/>
        <w:spacing w:before="156" w:after="156"/>
        <w:ind w:firstLine="480"/>
        <w:rPr>
          <w:lang w:eastAsia="zh-CN"/>
        </w:rPr>
      </w:pPr>
      <w:r>
        <w:rPr>
          <w:lang w:eastAsia="zh-CN"/>
        </w:rPr>
        <w:t>2020年5月22日成立的易方达均衡成长成为去年规模缩水最多的主动偏股类爆款基金，其发行份额达269.67亿份，四季度末份额为123.72亿份，成立以来净赎回145.95亿份，其中四季度净赎回60.14亿份。</w:t>
      </w:r>
    </w:p>
    <w:p w:rsidR="00D703C5" w:rsidRDefault="00D703C5" w:rsidP="00D703C5">
      <w:pPr>
        <w:pStyle w:val="a4"/>
        <w:spacing w:before="156" w:after="156"/>
        <w:ind w:firstLine="480"/>
        <w:rPr>
          <w:lang w:eastAsia="zh-CN"/>
        </w:rPr>
      </w:pPr>
      <w:r>
        <w:rPr>
          <w:rFonts w:hint="eastAsia"/>
          <w:lang w:eastAsia="zh-CN"/>
        </w:rPr>
        <w:t>在爆款基金规模缩水的同时，不少绩优老基金却获得投资者青睐，规模持续增加，其中金牛基金尤其亮眼。具体来看，由金牛基金经理王延飞管理的东方红睿玺三年</w:t>
      </w:r>
      <w:r>
        <w:rPr>
          <w:lang w:eastAsia="zh-CN"/>
        </w:rPr>
        <w:t>A，四季度获得126.12亿份的净申购，成为四季度老基金里的“吸金王”。</w:t>
      </w:r>
    </w:p>
    <w:p w:rsidR="00D703C5" w:rsidRDefault="00D703C5" w:rsidP="00D703C5">
      <w:pPr>
        <w:pStyle w:val="a4"/>
        <w:spacing w:before="156" w:after="156"/>
        <w:ind w:firstLine="480"/>
        <w:rPr>
          <w:lang w:eastAsia="zh-CN"/>
        </w:rPr>
      </w:pPr>
      <w:r>
        <w:rPr>
          <w:rFonts w:hint="eastAsia"/>
          <w:lang w:eastAsia="zh-CN"/>
        </w:rPr>
        <w:t>由张坤管理的易方达蓝筹混合，四季度也获得</w:t>
      </w:r>
      <w:r>
        <w:rPr>
          <w:lang w:eastAsia="zh-CN"/>
        </w:rPr>
        <w:t>83.97亿份的净申购，四季度末规模达236.22亿份。张坤一举超越广发基金刘格菘，成为公募基金史上第一位在管主动权益类基金规模超千亿的基金经理。</w:t>
      </w:r>
    </w:p>
    <w:p w:rsidR="00D703C5" w:rsidRDefault="00D703C5" w:rsidP="00D703C5">
      <w:pPr>
        <w:pStyle w:val="a4"/>
        <w:spacing w:before="156" w:after="156"/>
        <w:ind w:firstLine="480"/>
        <w:rPr>
          <w:lang w:eastAsia="zh-CN"/>
        </w:rPr>
      </w:pPr>
      <w:r>
        <w:rPr>
          <w:rFonts w:hint="eastAsia"/>
          <w:lang w:eastAsia="zh-CN"/>
        </w:rPr>
        <w:t>此外，由金牛基金经理董承非管理的兴全新视野也获得超</w:t>
      </w:r>
      <w:r>
        <w:rPr>
          <w:lang w:eastAsia="zh-CN"/>
        </w:rPr>
        <w:t>50亿份的净申购。</w:t>
      </w:r>
    </w:p>
    <w:p w:rsidR="00A42717" w:rsidRDefault="00A42717" w:rsidP="00A42717">
      <w:pPr>
        <w:pStyle w:val="2"/>
        <w:spacing w:before="156" w:after="156"/>
      </w:pPr>
      <w:bookmarkStart w:id="23" w:name="_Toc62456436"/>
      <w:r w:rsidRPr="00A42717">
        <w:rPr>
          <w:rFonts w:hint="eastAsia"/>
        </w:rPr>
        <w:t>重磅消息！证监会批准设立广州期货交易所</w:t>
      </w:r>
      <w:bookmarkEnd w:id="23"/>
    </w:p>
    <w:p w:rsidR="00A42717" w:rsidRDefault="00A42717" w:rsidP="00A42717">
      <w:pPr>
        <w:pStyle w:val="a4"/>
        <w:spacing w:before="156" w:after="156"/>
        <w:ind w:firstLine="480"/>
        <w:rPr>
          <w:lang w:eastAsia="zh-CN"/>
        </w:rPr>
      </w:pPr>
      <w:r>
        <w:rPr>
          <w:rFonts w:hint="eastAsia"/>
          <w:lang w:eastAsia="zh-CN"/>
        </w:rPr>
        <w:t>中国证监会新闻发言人高莉</w:t>
      </w:r>
      <w:r>
        <w:rPr>
          <w:lang w:eastAsia="zh-CN"/>
        </w:rPr>
        <w:t>1月22日在证监会新闻发布会上表示，经国务院同意，证监会正式批准设立广州期货交易所。</w:t>
      </w:r>
    </w:p>
    <w:p w:rsidR="00A42717" w:rsidRDefault="00A42717" w:rsidP="00A42717">
      <w:pPr>
        <w:pStyle w:val="a4"/>
        <w:spacing w:before="156" w:after="156"/>
        <w:ind w:firstLine="480"/>
        <w:rPr>
          <w:lang w:eastAsia="zh-CN"/>
        </w:rPr>
      </w:pPr>
      <w:r>
        <w:rPr>
          <w:rFonts w:hint="eastAsia"/>
          <w:lang w:eastAsia="zh-CN"/>
        </w:rPr>
        <w:t>这意味着在上海期货交易所、郑州商品交易所、大连商品交易所和中国金融期货交易所之外，我国第五家期货交易所将面世。业内人士透露，广期所在品种设立方面将与其他四家期货</w:t>
      </w:r>
      <w:r>
        <w:rPr>
          <w:rFonts w:hint="eastAsia"/>
          <w:lang w:eastAsia="zh-CN"/>
        </w:rPr>
        <w:lastRenderedPageBreak/>
        <w:t>交易所形成错位发展关系。</w:t>
      </w:r>
    </w:p>
    <w:p w:rsidR="00A42717" w:rsidRDefault="00A42717" w:rsidP="00A42717">
      <w:pPr>
        <w:pStyle w:val="a4"/>
        <w:spacing w:before="156" w:after="156"/>
        <w:ind w:firstLine="480"/>
        <w:rPr>
          <w:lang w:eastAsia="zh-CN"/>
        </w:rPr>
      </w:pPr>
      <w:r>
        <w:rPr>
          <w:rFonts w:hint="eastAsia"/>
          <w:lang w:eastAsia="zh-CN"/>
        </w:rPr>
        <w:t>高莉表示，设立广期所是贯彻落实中共中央、国务院关于《粤港澳大湾区发展规划纲要》，国务院关于《中国（广东）自由贸易试验区总体方案》及中国人民银行、中国银保监会、中国证监会、国家外汇管理局四部委《关于金融支持粤港澳大湾区建设的意见》的重要举措。广期所立足服务实体经济、服务绿色发展，秉持创新型、市场化、国际化的发展定位，对完善我国资本市场体系，助力粤港澳大湾区和国家“一带一路”建设，服务经济高质量发展具有重要意义。</w:t>
      </w:r>
    </w:p>
    <w:p w:rsidR="00A42717" w:rsidRDefault="00A42717" w:rsidP="00A42717">
      <w:pPr>
        <w:pStyle w:val="a4"/>
        <w:spacing w:before="156" w:after="156"/>
        <w:ind w:firstLine="480"/>
        <w:rPr>
          <w:lang w:eastAsia="zh-CN"/>
        </w:rPr>
      </w:pPr>
      <w:r>
        <w:rPr>
          <w:rFonts w:hint="eastAsia"/>
          <w:lang w:eastAsia="zh-CN"/>
        </w:rPr>
        <w:t>广期所的设立酝酿已久。</w:t>
      </w:r>
      <w:r>
        <w:rPr>
          <w:lang w:eastAsia="zh-CN"/>
        </w:rPr>
        <w:t>2020年10月9日，证监会在广州宣布筹备组成立，标志着广期所创建工作进入实质阶段。</w:t>
      </w:r>
    </w:p>
    <w:p w:rsidR="00A42717" w:rsidRDefault="00A42717" w:rsidP="00A42717">
      <w:pPr>
        <w:pStyle w:val="a4"/>
        <w:spacing w:before="156" w:after="156"/>
        <w:ind w:firstLine="480"/>
        <w:rPr>
          <w:lang w:eastAsia="zh-CN"/>
        </w:rPr>
      </w:pPr>
      <w:r>
        <w:rPr>
          <w:rFonts w:hint="eastAsia"/>
          <w:lang w:eastAsia="zh-CN"/>
        </w:rPr>
        <w:t>广期所的上市品种备受市场关注。</w:t>
      </w:r>
      <w:r>
        <w:rPr>
          <w:lang w:eastAsia="zh-CN"/>
        </w:rPr>
        <w:t>2020年7月，广东省地方金融监管局已同意关于调整2020年广东省促进经济高质量发展专项资金项目“广州期货交易所上市期货品种研究”支出内容的请示。有业内人士透露，广期所在品种设立方面将与其他四家期货交易所形成错位发展关系，并通过对标国际市场增强市场参与度。</w:t>
      </w:r>
    </w:p>
    <w:p w:rsidR="00A42717" w:rsidRPr="00A42717" w:rsidRDefault="00A42717" w:rsidP="00A42717">
      <w:pPr>
        <w:pStyle w:val="a4"/>
        <w:spacing w:before="156" w:after="156"/>
        <w:ind w:firstLine="480"/>
        <w:rPr>
          <w:lang w:eastAsia="zh-CN"/>
        </w:rPr>
      </w:pPr>
      <w:r>
        <w:rPr>
          <w:rFonts w:hint="eastAsia"/>
          <w:lang w:eastAsia="zh-CN"/>
        </w:rPr>
        <w:t>广期所筹备组组长胡政日前表示，未来，广期所将牢牢把握服务新发展格局、推动高质量发展的总目标，以服务绿色低碳发展、粤港澳大湾区建设和“一带一路”倡议为宗旨，坚持创新型、市场化、国际化发展方向，勇立潮头、奋发有为、只争朝夕，打造一个具有国际影响力的综合性期货交易所。</w:t>
      </w:r>
    </w:p>
    <w:p w:rsidR="00425B93" w:rsidRDefault="008659C3">
      <w:pPr>
        <w:pStyle w:val="1"/>
        <w:spacing w:before="156" w:after="156"/>
      </w:pPr>
      <w:bookmarkStart w:id="24" w:name="_Toc62456437"/>
      <w:r>
        <w:rPr>
          <w:rFonts w:hint="eastAsia"/>
        </w:rPr>
        <w:t>【专家评论】</w:t>
      </w:r>
      <w:bookmarkEnd w:id="24"/>
    </w:p>
    <w:p w:rsidR="00425B93" w:rsidRDefault="00F620C5" w:rsidP="008659C3">
      <w:pPr>
        <w:pStyle w:val="2"/>
        <w:spacing w:before="156" w:after="156"/>
      </w:pPr>
      <w:bookmarkStart w:id="25" w:name="_Toc62456438"/>
      <w:r w:rsidRPr="00F620C5">
        <w:rPr>
          <w:rFonts w:hint="eastAsia"/>
        </w:rPr>
        <w:t>专访：亚投行五年实践做到了精简、廉洁和绿色——访新加坡国立大学李光耀公共政策学院副教授顾清扬</w:t>
      </w:r>
      <w:bookmarkEnd w:id="25"/>
    </w:p>
    <w:p w:rsidR="00F620C5" w:rsidRDefault="00F620C5" w:rsidP="00F620C5">
      <w:pPr>
        <w:pStyle w:val="a4"/>
        <w:spacing w:before="156" w:after="156"/>
        <w:ind w:firstLine="480"/>
        <w:rPr>
          <w:lang w:eastAsia="zh-CN"/>
        </w:rPr>
      </w:pPr>
      <w:r>
        <w:rPr>
          <w:rFonts w:hint="eastAsia"/>
          <w:lang w:eastAsia="zh-CN"/>
        </w:rPr>
        <w:t>“过去几年，亚投行不仅在基础设施建设投资上取得了亮眼成绩，作为一个新兴机构，亚投行在治理体系方面也获得了世人赞赏。”新加坡国立大学李光耀公共政策学院副教授顾清扬日前在评论亚洲基础设施投资银行开业运营五年来的成就时如是说。</w:t>
      </w:r>
    </w:p>
    <w:p w:rsidR="00F620C5" w:rsidRDefault="00F620C5" w:rsidP="00F620C5">
      <w:pPr>
        <w:pStyle w:val="a4"/>
        <w:spacing w:before="156" w:after="156"/>
        <w:ind w:firstLine="480"/>
        <w:rPr>
          <w:lang w:eastAsia="zh-CN"/>
        </w:rPr>
      </w:pPr>
      <w:r>
        <w:rPr>
          <w:rFonts w:hint="eastAsia"/>
          <w:lang w:eastAsia="zh-CN"/>
        </w:rPr>
        <w:t>他在接受新华社记者专访时说，亚投行从最开始就按照国际最高治理标准运作，确立了“精简、廉洁、绿色”的核心理念。五年实践表明，亚投行建立了精简有效的执行机制，展现了透明和负责任的机构文化，对腐败零容忍，赢得了国际社会广泛赞赏和认可。</w:t>
      </w:r>
    </w:p>
    <w:p w:rsidR="00F620C5" w:rsidRDefault="00F620C5" w:rsidP="00F620C5">
      <w:pPr>
        <w:pStyle w:val="a4"/>
        <w:spacing w:before="156" w:after="156"/>
        <w:ind w:firstLine="480"/>
        <w:rPr>
          <w:lang w:eastAsia="zh-CN"/>
        </w:rPr>
      </w:pPr>
      <w:r>
        <w:rPr>
          <w:rFonts w:hint="eastAsia"/>
          <w:lang w:eastAsia="zh-CN"/>
        </w:rPr>
        <w:t>顾清扬指出，着重通过发展基础设施赋能，促进投资和贸易，最终促进减贫和社会进步，这是亚投行作为多边开发银行的一个创举。</w:t>
      </w:r>
    </w:p>
    <w:p w:rsidR="00F620C5" w:rsidRDefault="00F620C5" w:rsidP="00F620C5">
      <w:pPr>
        <w:pStyle w:val="a4"/>
        <w:spacing w:before="156" w:after="156"/>
        <w:ind w:firstLine="480"/>
        <w:rPr>
          <w:lang w:eastAsia="zh-CN"/>
        </w:rPr>
      </w:pPr>
      <w:r>
        <w:rPr>
          <w:rFonts w:hint="eastAsia"/>
          <w:lang w:eastAsia="zh-CN"/>
        </w:rPr>
        <w:lastRenderedPageBreak/>
        <w:t>他表示，基础设施对促进经济增长至关重要。发展中国家的基础设施严重不足，制约了摆脱贫困和发展经济的步伐。亚投行为发展中国家、特别是亚洲国家基础设施发展做出重要贡献，成为全球特别是亚洲基础设施融资的新平台，促进了区域经贸合作。亚投行与其他多边开发银行紧密合作，为基础设施联合融资，进一步促进国际合作和全球发展。</w:t>
      </w:r>
    </w:p>
    <w:p w:rsidR="00F620C5" w:rsidRDefault="00F620C5" w:rsidP="00F620C5">
      <w:pPr>
        <w:pStyle w:val="a4"/>
        <w:spacing w:before="156" w:after="156"/>
        <w:ind w:firstLine="480"/>
        <w:rPr>
          <w:lang w:eastAsia="zh-CN"/>
        </w:rPr>
      </w:pPr>
      <w:r>
        <w:rPr>
          <w:rFonts w:hint="eastAsia"/>
          <w:lang w:eastAsia="zh-CN"/>
        </w:rPr>
        <w:t>他说，新冠疫情凸显发展中国家应对重大危机的不足和脆弱性，而基础设施落后是其重要因素。亚投行近几年在这一领域的投资取得亮眼成绩，对帮助成员缓解疫情影响意义重大。</w:t>
      </w:r>
    </w:p>
    <w:p w:rsidR="00F620C5" w:rsidRDefault="00F620C5" w:rsidP="00F620C5">
      <w:pPr>
        <w:pStyle w:val="a4"/>
        <w:spacing w:before="156" w:after="156"/>
        <w:ind w:firstLine="480"/>
        <w:rPr>
          <w:lang w:eastAsia="zh-CN"/>
        </w:rPr>
      </w:pPr>
      <w:r>
        <w:rPr>
          <w:rFonts w:hint="eastAsia"/>
          <w:lang w:eastAsia="zh-CN"/>
        </w:rPr>
        <w:t>顾清扬赞扬亚投行重视国际社会存在的长期挑战、将全球可持续发展和应对重大灾害作为项目资助重点的工作思路。</w:t>
      </w:r>
    </w:p>
    <w:p w:rsidR="00F620C5" w:rsidRPr="00F620C5" w:rsidRDefault="00F620C5" w:rsidP="00F620C5">
      <w:pPr>
        <w:pStyle w:val="a4"/>
        <w:spacing w:before="156" w:after="156"/>
        <w:ind w:firstLine="480"/>
        <w:rPr>
          <w:lang w:eastAsia="zh-CN"/>
        </w:rPr>
      </w:pPr>
      <w:r>
        <w:rPr>
          <w:rFonts w:hint="eastAsia"/>
          <w:lang w:eastAsia="zh-CN"/>
        </w:rPr>
        <w:t>他说，疫情给全球造成巨大冲击，人类面临空前考验。亚投行快速反应成立专门基金为成员提供支持，并持续扩大基金规模至</w:t>
      </w:r>
      <w:r>
        <w:rPr>
          <w:lang w:eastAsia="zh-CN"/>
        </w:rPr>
        <w:t>130亿美元，为成员、特别是低收入成员提供公共卫生基础设施财政支援，发挥了多边开发银行在协调应对全球重大危机中的重要作用。</w:t>
      </w:r>
    </w:p>
    <w:p w:rsidR="00384FD4" w:rsidRDefault="004F2BE7" w:rsidP="00384FD4">
      <w:pPr>
        <w:pStyle w:val="2"/>
        <w:spacing w:before="156" w:after="156"/>
      </w:pPr>
      <w:bookmarkStart w:id="26" w:name="_Toc62456439"/>
      <w:r w:rsidRPr="004F2BE7">
        <w:rPr>
          <w:rFonts w:hint="eastAsia"/>
        </w:rPr>
        <w:t>新加坡学者说中国经济强劲复苏将促东盟释放发展潜能</w:t>
      </w:r>
      <w:bookmarkEnd w:id="26"/>
    </w:p>
    <w:p w:rsidR="004F2BE7" w:rsidRDefault="004F2BE7" w:rsidP="004F2BE7">
      <w:pPr>
        <w:pStyle w:val="a4"/>
        <w:spacing w:before="156" w:after="156"/>
        <w:ind w:firstLine="480"/>
        <w:rPr>
          <w:lang w:eastAsia="zh-CN"/>
        </w:rPr>
      </w:pPr>
      <w:r>
        <w:rPr>
          <w:rFonts w:hint="eastAsia"/>
          <w:lang w:eastAsia="zh-CN"/>
        </w:rPr>
        <w:t>新加坡李白金融学院院长白士泮日前接受新华社记者书面专访时表示，受益于中国经济强劲复苏等因素，疫情过后东盟将释放巨大发展潜能。</w:t>
      </w:r>
    </w:p>
    <w:p w:rsidR="004F2BE7" w:rsidRDefault="004F2BE7" w:rsidP="004F2BE7">
      <w:pPr>
        <w:pStyle w:val="a4"/>
        <w:spacing w:before="156" w:after="156"/>
        <w:ind w:firstLine="480"/>
        <w:rPr>
          <w:lang w:eastAsia="zh-CN"/>
        </w:rPr>
      </w:pPr>
      <w:r>
        <w:rPr>
          <w:rFonts w:hint="eastAsia"/>
          <w:lang w:eastAsia="zh-CN"/>
        </w:rPr>
        <w:t>白士泮说，中国是全球率先实现正增长的主要经济体，许多国家，尤其是亚洲与东盟国家将受益于中国经济的强劲复苏。其次，东盟人口结构年轻，智能手机普及率较高，互联网经济发展速度惊人，预计</w:t>
      </w:r>
      <w:r>
        <w:rPr>
          <w:lang w:eastAsia="zh-CN"/>
        </w:rPr>
        <w:t>2025年总规模将达3000亿美元。另外，《区域全面经济伙伴关系协定》（RCEP）将助力东盟发展，尤其是在跨境电子商务、金融科技、数字贸易等数字经济领域。</w:t>
      </w:r>
    </w:p>
    <w:p w:rsidR="004F2BE7" w:rsidRDefault="004F2BE7" w:rsidP="004F2BE7">
      <w:pPr>
        <w:pStyle w:val="a4"/>
        <w:spacing w:before="156" w:after="156"/>
        <w:ind w:firstLine="480"/>
        <w:rPr>
          <w:lang w:eastAsia="zh-CN"/>
        </w:rPr>
      </w:pPr>
      <w:r>
        <w:rPr>
          <w:rFonts w:hint="eastAsia"/>
          <w:lang w:eastAsia="zh-CN"/>
        </w:rPr>
        <w:t>他表示，</w:t>
      </w:r>
      <w:r>
        <w:rPr>
          <w:lang w:eastAsia="zh-CN"/>
        </w:rPr>
        <w:t>RCEP签署和中欧投资协定谈判完成，都有助于抵制贸易保护主义，对全球经济增长有利。中国推动共建“一带一路”，积极发展与沿线国家的经济合作伙伴关系，努力有目共睹。</w:t>
      </w:r>
    </w:p>
    <w:p w:rsidR="004F2BE7" w:rsidRPr="004F2BE7" w:rsidRDefault="004F2BE7" w:rsidP="004F2BE7">
      <w:pPr>
        <w:pStyle w:val="a4"/>
        <w:spacing w:before="156" w:after="156"/>
        <w:ind w:firstLine="480"/>
        <w:rPr>
          <w:lang w:eastAsia="zh-CN"/>
        </w:rPr>
      </w:pPr>
      <w:r>
        <w:rPr>
          <w:rFonts w:hint="eastAsia"/>
          <w:lang w:eastAsia="zh-CN"/>
        </w:rPr>
        <w:t>白士泮说，近几年，新加坡积极拓展与中国、东盟其他国家、新西兰、澳大利亚、智利等国在数字经济领域的伙伴关系。像连接新加坡与中国重庆等城市的数据通道，就将促进中新数字经贸合作。</w:t>
      </w:r>
    </w:p>
    <w:p w:rsidR="00425B93" w:rsidRDefault="008659C3">
      <w:pPr>
        <w:pStyle w:val="1"/>
        <w:spacing w:before="156" w:after="156"/>
      </w:pPr>
      <w:bookmarkStart w:id="27" w:name="_Toc62456440"/>
      <w:r>
        <w:rPr>
          <w:rFonts w:hint="eastAsia"/>
        </w:rPr>
        <w:t>【机构评论】</w:t>
      </w:r>
      <w:bookmarkEnd w:id="27"/>
    </w:p>
    <w:p w:rsidR="002B0D1D" w:rsidRDefault="00C25B2B" w:rsidP="002B0D1D">
      <w:pPr>
        <w:pStyle w:val="2"/>
        <w:spacing w:before="156" w:after="156"/>
      </w:pPr>
      <w:bookmarkStart w:id="28" w:name="_Toc62456441"/>
      <w:r w:rsidRPr="00C25B2B">
        <w:rPr>
          <w:rFonts w:hint="eastAsia"/>
        </w:rPr>
        <w:t>世界经济论坛报告：世界需警惕长期风险</w:t>
      </w:r>
      <w:bookmarkEnd w:id="28"/>
    </w:p>
    <w:p w:rsidR="00C25B2B" w:rsidRDefault="00C25B2B" w:rsidP="00C25B2B">
      <w:pPr>
        <w:pStyle w:val="a4"/>
        <w:spacing w:before="156" w:after="156"/>
        <w:ind w:firstLine="480"/>
        <w:rPr>
          <w:lang w:eastAsia="zh-CN"/>
        </w:rPr>
      </w:pPr>
      <w:r>
        <w:rPr>
          <w:rFonts w:hint="eastAsia"/>
          <w:lang w:eastAsia="zh-CN"/>
        </w:rPr>
        <w:t>总部位于日内瓦的世界经济论坛</w:t>
      </w:r>
      <w:r>
        <w:rPr>
          <w:lang w:eastAsia="zh-CN"/>
        </w:rPr>
        <w:t>19日发布《2021年全球风险报告》，警告新冠疫情加剧了贫富差距和社会分化，可能将在未来三至五年里阻碍全球经济发展，并将在未来五至十年里加</w:t>
      </w:r>
      <w:r>
        <w:rPr>
          <w:lang w:eastAsia="zh-CN"/>
        </w:rPr>
        <w:lastRenderedPageBreak/>
        <w:t>剧地缘政治紧张局势。</w:t>
      </w:r>
    </w:p>
    <w:p w:rsidR="00C25B2B" w:rsidRDefault="00C25B2B" w:rsidP="00C25B2B">
      <w:pPr>
        <w:pStyle w:val="a4"/>
        <w:spacing w:before="156" w:after="156"/>
        <w:ind w:firstLine="480"/>
        <w:rPr>
          <w:lang w:eastAsia="zh-CN"/>
        </w:rPr>
      </w:pPr>
      <w:r>
        <w:rPr>
          <w:rFonts w:hint="eastAsia"/>
          <w:lang w:eastAsia="zh-CN"/>
        </w:rPr>
        <w:t>报告指出，</w:t>
      </w:r>
      <w:r>
        <w:rPr>
          <w:lang w:eastAsia="zh-CN"/>
        </w:rPr>
        <w:t>2020年，人类看到了忽视长期风险所带来的严重影响。疫情不仅夺去了数百万人的生命，还加剧了各国和地区之间的分化。</w:t>
      </w:r>
    </w:p>
    <w:p w:rsidR="00C25B2B" w:rsidRDefault="00C25B2B" w:rsidP="00C25B2B">
      <w:pPr>
        <w:pStyle w:val="a4"/>
        <w:spacing w:before="156" w:after="156"/>
        <w:ind w:firstLine="480"/>
        <w:rPr>
          <w:lang w:eastAsia="zh-CN"/>
        </w:rPr>
      </w:pPr>
      <w:r>
        <w:rPr>
          <w:rFonts w:hint="eastAsia"/>
          <w:lang w:eastAsia="zh-CN"/>
        </w:rPr>
        <w:t>报告认为，未来两年明确的风险包括传染病、就业危机、数字不平等和网络安全等。未来三至五年，受疫情影响，全球在经济和技术领域的风险会逐渐显现，包括资产泡沫破裂、</w:t>
      </w:r>
      <w:r>
        <w:rPr>
          <w:lang w:eastAsia="zh-CN"/>
        </w:rPr>
        <w:t>IT基础设施崩溃、价格波动和债务危机等。从未来十年风险发生的概率和影响来看，环境风险仍居首位。</w:t>
      </w:r>
    </w:p>
    <w:p w:rsidR="00C25B2B" w:rsidRDefault="00C25B2B" w:rsidP="00C25B2B">
      <w:pPr>
        <w:pStyle w:val="a4"/>
        <w:spacing w:before="156" w:after="156"/>
        <w:ind w:firstLine="480"/>
        <w:rPr>
          <w:lang w:eastAsia="zh-CN"/>
        </w:rPr>
      </w:pPr>
      <w:r>
        <w:rPr>
          <w:rFonts w:hint="eastAsia"/>
          <w:lang w:eastAsia="zh-CN"/>
        </w:rPr>
        <w:t>世界经济论坛执行董事萨迪娅·扎希迪说：“全球风险报告自</w:t>
      </w:r>
      <w:r>
        <w:rPr>
          <w:lang w:eastAsia="zh-CN"/>
        </w:rPr>
        <w:t>2006年以来一直强调的全球疫情风险在2020年成为了现实。随着政府、企业和社会逐渐摆脱疫情危机，我们必须立即行动起来，建立新的经济和社会制度，以提高我们的集体韧性和应对能力，同时减少不平等、改善健康和保护地球。”</w:t>
      </w:r>
    </w:p>
    <w:p w:rsidR="00C25B2B" w:rsidRPr="00C25B2B" w:rsidRDefault="00C25B2B" w:rsidP="00C25B2B">
      <w:pPr>
        <w:pStyle w:val="a4"/>
        <w:spacing w:before="156" w:after="156"/>
        <w:ind w:firstLine="480"/>
        <w:rPr>
          <w:lang w:eastAsia="zh-CN"/>
        </w:rPr>
      </w:pPr>
      <w:r>
        <w:rPr>
          <w:rFonts w:hint="eastAsia"/>
          <w:lang w:eastAsia="zh-CN"/>
        </w:rPr>
        <w:t>世界经济论坛将于</w:t>
      </w:r>
      <w:r>
        <w:rPr>
          <w:lang w:eastAsia="zh-CN"/>
        </w:rPr>
        <w:t>25日至29日在线上举行“达沃斯议程”对话会。届时，全球70多个国家和地区的1500多位政商界和社会组织领导人将围绕“把握关键之年，重建各方信任”主题，分析新冠疫情下全球面临的多重挑战，寻求合作抗疫和经济复苏良方。</w:t>
      </w:r>
    </w:p>
    <w:p w:rsidR="00C25B2B" w:rsidRDefault="00C25B2B" w:rsidP="00C25B2B">
      <w:pPr>
        <w:pStyle w:val="2"/>
        <w:spacing w:before="156" w:after="156"/>
      </w:pPr>
      <w:bookmarkStart w:id="29" w:name="_Toc62456442"/>
      <w:r w:rsidRPr="004336DA">
        <w:rPr>
          <w:rFonts w:hint="eastAsia"/>
        </w:rPr>
        <w:t>美媒：中国经济强劲复苏</w:t>
      </w:r>
      <w:r w:rsidRPr="004336DA">
        <w:t>吸引全球投资者</w:t>
      </w:r>
      <w:bookmarkEnd w:id="29"/>
    </w:p>
    <w:p w:rsidR="00C25B2B" w:rsidRDefault="00C25B2B" w:rsidP="00C25B2B">
      <w:pPr>
        <w:pStyle w:val="a4"/>
        <w:spacing w:before="156" w:after="156"/>
        <w:ind w:firstLine="480"/>
        <w:rPr>
          <w:lang w:eastAsia="zh-CN"/>
        </w:rPr>
      </w:pPr>
      <w:r>
        <w:rPr>
          <w:lang w:eastAsia="zh-CN"/>
        </w:rPr>
        <w:t>2020年中国经济在疫情大考下实现正增长，经济总量首次迈上100万亿元新台阶，中国经济韧性及发展前景引发美国媒体热议。</w:t>
      </w:r>
    </w:p>
    <w:p w:rsidR="00C25B2B" w:rsidRDefault="00C25B2B" w:rsidP="00C25B2B">
      <w:pPr>
        <w:pStyle w:val="a4"/>
        <w:spacing w:before="156" w:after="156"/>
        <w:ind w:firstLine="480"/>
        <w:rPr>
          <w:lang w:eastAsia="zh-CN"/>
        </w:rPr>
      </w:pPr>
      <w:r>
        <w:rPr>
          <w:rFonts w:hint="eastAsia"/>
          <w:lang w:eastAsia="zh-CN"/>
        </w:rPr>
        <w:t>美国《华尔街日报》网站日前刊文指出，中国经济在</w:t>
      </w:r>
      <w:r>
        <w:rPr>
          <w:lang w:eastAsia="zh-CN"/>
        </w:rPr>
        <w:t>2020年增长2.3%，成为新冠疫情下全球率先实现正增长的主要经济体。</w:t>
      </w:r>
    </w:p>
    <w:p w:rsidR="00C25B2B" w:rsidRDefault="00C25B2B" w:rsidP="00C25B2B">
      <w:pPr>
        <w:pStyle w:val="a4"/>
        <w:spacing w:before="156" w:after="156"/>
        <w:ind w:firstLine="480"/>
        <w:rPr>
          <w:lang w:eastAsia="zh-CN"/>
        </w:rPr>
      </w:pPr>
      <w:r>
        <w:rPr>
          <w:rFonts w:hint="eastAsia"/>
          <w:lang w:eastAsia="zh-CN"/>
        </w:rPr>
        <w:t>文章指出，中国经济从疫情中强劲复苏、实现增长，凸显中国防控疫情取得的成就。当大部分国家的制造业因为疫情陷入停滞时，中国率先复工复产，从而能够大量生产并出口医疗物资和居家办公设备。</w:t>
      </w:r>
    </w:p>
    <w:p w:rsidR="00C25B2B" w:rsidRDefault="00C25B2B" w:rsidP="00C25B2B">
      <w:pPr>
        <w:pStyle w:val="a4"/>
        <w:spacing w:before="156" w:after="156"/>
        <w:ind w:firstLine="480"/>
        <w:rPr>
          <w:lang w:eastAsia="zh-CN"/>
        </w:rPr>
      </w:pPr>
      <w:r>
        <w:rPr>
          <w:rFonts w:hint="eastAsia"/>
          <w:lang w:eastAsia="zh-CN"/>
        </w:rPr>
        <w:t>美国消费者新闻与商业频道则撰文指出，</w:t>
      </w:r>
      <w:r>
        <w:rPr>
          <w:lang w:eastAsia="zh-CN"/>
        </w:rPr>
        <w:t>2020年在全球挣扎应对新冠疫情的情况下，经济上的突出表现吸引更多外资涌入中国。麦格理集团估计，在金融市场，去年外国投资者购买的中国债券增加一倍以上。</w:t>
      </w:r>
    </w:p>
    <w:p w:rsidR="00C25B2B" w:rsidRPr="004336DA" w:rsidRDefault="00C25B2B" w:rsidP="00C25B2B">
      <w:pPr>
        <w:pStyle w:val="a4"/>
        <w:spacing w:before="156" w:after="156"/>
        <w:ind w:firstLine="480"/>
        <w:rPr>
          <w:lang w:eastAsia="zh-CN"/>
        </w:rPr>
      </w:pPr>
      <w:r>
        <w:rPr>
          <w:rFonts w:hint="eastAsia"/>
          <w:lang w:eastAsia="zh-CN"/>
        </w:rPr>
        <w:t>文章指出，外国投资者对中国的兴趣日益浓厚。过去几年，中国快速增长的经济和巨大消费人口吸引众多国际消费品牌、汽车制造商和金融机构来华开展业务，而中国放宽外资准入推动了这一趋势。</w:t>
      </w:r>
    </w:p>
    <w:p w:rsidR="00425B93" w:rsidRDefault="008659C3">
      <w:pPr>
        <w:pStyle w:val="1"/>
        <w:spacing w:before="156" w:after="156"/>
      </w:pPr>
      <w:bookmarkStart w:id="30" w:name="_Toc62456443"/>
      <w:r>
        <w:rPr>
          <w:rFonts w:hint="eastAsia"/>
        </w:rPr>
        <w:lastRenderedPageBreak/>
        <w:t>【产业聚焦】</w:t>
      </w:r>
      <w:bookmarkEnd w:id="30"/>
    </w:p>
    <w:p w:rsidR="004336DA" w:rsidRDefault="004336DA" w:rsidP="004336DA">
      <w:pPr>
        <w:pStyle w:val="2"/>
        <w:spacing w:before="156" w:after="156"/>
      </w:pPr>
      <w:bookmarkStart w:id="31" w:name="_Toc62456444"/>
      <w:r w:rsidRPr="004336DA">
        <w:rPr>
          <w:rFonts w:hint="eastAsia"/>
        </w:rPr>
        <w:t>市场供不应求</w:t>
      </w:r>
      <w:r w:rsidRPr="004336DA">
        <w:t>锂电铜箔产业新一年景气依然</w:t>
      </w:r>
      <w:bookmarkEnd w:id="31"/>
    </w:p>
    <w:p w:rsidR="004336DA" w:rsidRDefault="004336DA" w:rsidP="004336DA">
      <w:pPr>
        <w:pStyle w:val="a4"/>
        <w:spacing w:before="156" w:after="156"/>
        <w:ind w:firstLine="480"/>
        <w:rPr>
          <w:lang w:eastAsia="zh-CN"/>
        </w:rPr>
      </w:pPr>
      <w:r>
        <w:rPr>
          <w:rFonts w:hint="eastAsia"/>
          <w:lang w:eastAsia="zh-CN"/>
        </w:rPr>
        <w:t>与其他锂电材料一样，锂电池负极集流体的主要材料——铜箔，价格在</w:t>
      </w:r>
      <w:r>
        <w:rPr>
          <w:lang w:eastAsia="zh-CN"/>
        </w:rPr>
        <w:t>2020年下半年开启了上升通道。进入2021年，锂电铜箔产业的高景气度能否持续？</w:t>
      </w:r>
    </w:p>
    <w:p w:rsidR="004336DA" w:rsidRDefault="004336DA" w:rsidP="004336DA">
      <w:pPr>
        <w:pStyle w:val="a4"/>
        <w:spacing w:before="156" w:after="156"/>
        <w:ind w:firstLine="480"/>
        <w:rPr>
          <w:lang w:eastAsia="zh-CN"/>
        </w:rPr>
      </w:pPr>
      <w:r>
        <w:rPr>
          <w:rFonts w:hint="eastAsia"/>
          <w:lang w:eastAsia="zh-CN"/>
        </w:rPr>
        <w:t>近日，上海证券报记者采访产业链多家公司获悉，产业呈现两大新态势：一是龙头企业摩拳擦掌，纷纷扩产；二是铜箔技术路线呈轻薄化趋势，龙头企业开始从</w:t>
      </w:r>
      <w:r>
        <w:rPr>
          <w:lang w:eastAsia="zh-CN"/>
        </w:rPr>
        <w:t>8μm及以上锂电铜箔向6μm及以下产品切换。</w:t>
      </w:r>
    </w:p>
    <w:p w:rsidR="004336DA" w:rsidRDefault="004336DA" w:rsidP="004336DA">
      <w:pPr>
        <w:pStyle w:val="a4"/>
        <w:spacing w:before="156" w:after="156"/>
        <w:ind w:firstLine="480"/>
        <w:rPr>
          <w:lang w:eastAsia="zh-CN"/>
        </w:rPr>
      </w:pPr>
      <w:r>
        <w:rPr>
          <w:rFonts w:hint="eastAsia"/>
          <w:lang w:eastAsia="zh-CN"/>
        </w:rPr>
        <w:t>推动扩产的，是仍在持续增长的需求。嘉元科技、诺德股份、超华科技等龙头企业直言“订单满满”。不过，有业内人士表示，受困于关键设备生产周期长、工艺积累等因素，铜箔产能难以在短期内突破，今年锂电铜箔供求关系仍将偏紧。</w:t>
      </w:r>
    </w:p>
    <w:p w:rsidR="004336DA" w:rsidRPr="004336DA" w:rsidRDefault="004336DA" w:rsidP="004336DA">
      <w:pPr>
        <w:pStyle w:val="a4"/>
        <w:spacing w:before="156" w:after="156"/>
        <w:ind w:firstLine="482"/>
        <w:rPr>
          <w:b/>
          <w:bCs/>
          <w:lang w:eastAsia="zh-CN"/>
        </w:rPr>
      </w:pPr>
      <w:r w:rsidRPr="004336DA">
        <w:rPr>
          <w:rFonts w:hint="eastAsia"/>
          <w:b/>
          <w:bCs/>
          <w:lang w:eastAsia="zh-CN"/>
        </w:rPr>
        <w:t>铜价与加工费齐涨</w:t>
      </w:r>
    </w:p>
    <w:p w:rsidR="004336DA" w:rsidRDefault="004336DA" w:rsidP="004336DA">
      <w:pPr>
        <w:pStyle w:val="a4"/>
        <w:spacing w:before="156" w:after="156"/>
        <w:ind w:firstLine="480"/>
        <w:rPr>
          <w:lang w:eastAsia="zh-CN"/>
        </w:rPr>
      </w:pPr>
      <w:r>
        <w:rPr>
          <w:rFonts w:hint="eastAsia"/>
          <w:lang w:eastAsia="zh-CN"/>
        </w:rPr>
        <w:t>从</w:t>
      </w:r>
      <w:r>
        <w:rPr>
          <w:lang w:eastAsia="zh-CN"/>
        </w:rPr>
        <w:t>2020年下半年开始，铜箔价格进入上升通道。数据显示，截至今年1月19日，6μm铜箔价格约10.5万元/吨，8μm铜箔价格约8.5万元/吨，分别较2020年4月的低位上涨14.75%和18.89%。</w:t>
      </w:r>
    </w:p>
    <w:p w:rsidR="004336DA" w:rsidRDefault="004336DA" w:rsidP="004336DA">
      <w:pPr>
        <w:pStyle w:val="a4"/>
        <w:spacing w:before="156" w:after="156"/>
        <w:ind w:firstLine="480"/>
        <w:rPr>
          <w:lang w:eastAsia="zh-CN"/>
        </w:rPr>
      </w:pPr>
      <w:r>
        <w:rPr>
          <w:rFonts w:hint="eastAsia"/>
          <w:lang w:eastAsia="zh-CN"/>
        </w:rPr>
        <w:t>中国化学与物理电源行业协会动力电池应用分会研究员闫志刚表示，铜箔价格通常由铜价与加工费组成，</w:t>
      </w:r>
      <w:r>
        <w:rPr>
          <w:lang w:eastAsia="zh-CN"/>
        </w:rPr>
        <w:t>2020年下半年以来，这两部分价格均处于上升趋势。</w:t>
      </w:r>
    </w:p>
    <w:p w:rsidR="004336DA" w:rsidRDefault="004336DA" w:rsidP="004336DA">
      <w:pPr>
        <w:pStyle w:val="a4"/>
        <w:spacing w:before="156" w:after="156"/>
        <w:ind w:firstLine="480"/>
        <w:rPr>
          <w:lang w:eastAsia="zh-CN"/>
        </w:rPr>
      </w:pPr>
      <w:r>
        <w:rPr>
          <w:rFonts w:hint="eastAsia"/>
          <w:lang w:eastAsia="zh-CN"/>
        </w:rPr>
        <w:t>随着市场需求逐渐回暖，金属铜库存不断下滑，铜价持续上涨。截至</w:t>
      </w:r>
      <w:r>
        <w:rPr>
          <w:lang w:eastAsia="zh-CN"/>
        </w:rPr>
        <w:t>1月20日收盘，沪铜主力合约报5.91万元/吨，较2020年最低值上涨约68%。</w:t>
      </w:r>
    </w:p>
    <w:p w:rsidR="004336DA" w:rsidRDefault="004336DA" w:rsidP="004336DA">
      <w:pPr>
        <w:pStyle w:val="a4"/>
        <w:spacing w:before="156" w:after="156"/>
        <w:ind w:firstLine="480"/>
        <w:rPr>
          <w:lang w:eastAsia="zh-CN"/>
        </w:rPr>
      </w:pPr>
      <w:r>
        <w:rPr>
          <w:rFonts w:hint="eastAsia"/>
          <w:lang w:eastAsia="zh-CN"/>
        </w:rPr>
        <w:t>“当前铜箔加工费相对</w:t>
      </w:r>
      <w:r>
        <w:rPr>
          <w:lang w:eastAsia="zh-CN"/>
        </w:rPr>
        <w:t>2020年最低点上涨近30%。”闫志刚介绍，目前8μm铜箔加工费约3万元/吨，6μm铜箔加工费为4.5万元/吨，4.5μm铜箔加工费则达7万元/吨至7.5万元/吨的水平。</w:t>
      </w:r>
    </w:p>
    <w:p w:rsidR="004336DA" w:rsidRDefault="004336DA" w:rsidP="004336DA">
      <w:pPr>
        <w:pStyle w:val="a4"/>
        <w:spacing w:before="156" w:after="156"/>
        <w:ind w:firstLine="480"/>
        <w:rPr>
          <w:lang w:eastAsia="zh-CN"/>
        </w:rPr>
      </w:pPr>
      <w:r>
        <w:rPr>
          <w:rFonts w:hint="eastAsia"/>
          <w:lang w:eastAsia="zh-CN"/>
        </w:rPr>
        <w:t>一家铜箔企业负责人介绍，目前市场主流的</w:t>
      </w:r>
      <w:r>
        <w:rPr>
          <w:lang w:eastAsia="zh-CN"/>
        </w:rPr>
        <w:t>6μm铜箔加工费虽然较2020年上半年有所回升，但与2017年6万元/吨至6.5万元/吨的高位相比，仍有较大上涨空间。</w:t>
      </w:r>
    </w:p>
    <w:p w:rsidR="004336DA" w:rsidRDefault="004336DA" w:rsidP="004336DA">
      <w:pPr>
        <w:pStyle w:val="a4"/>
        <w:spacing w:before="156" w:after="156"/>
        <w:ind w:firstLine="480"/>
        <w:rPr>
          <w:lang w:eastAsia="zh-CN"/>
        </w:rPr>
      </w:pPr>
      <w:r>
        <w:rPr>
          <w:rFonts w:hint="eastAsia"/>
          <w:lang w:eastAsia="zh-CN"/>
        </w:rPr>
        <w:t>下游的需求也为涨价提供支撑。东吴证券钢铁有色首席研究员杨件表示，铜箔下游包括电子和锂电池，一方面，经济回暖带来电子元器件、电路板等需求回升；另一方面，国内新能源汽车销量高速增长，对锂电铜箔拉动明显。</w:t>
      </w:r>
    </w:p>
    <w:p w:rsidR="004336DA" w:rsidRDefault="004336DA" w:rsidP="004336DA">
      <w:pPr>
        <w:pStyle w:val="a4"/>
        <w:spacing w:before="156" w:after="156"/>
        <w:ind w:firstLine="480"/>
        <w:rPr>
          <w:lang w:eastAsia="zh-CN"/>
        </w:rPr>
      </w:pPr>
      <w:r>
        <w:rPr>
          <w:rFonts w:hint="eastAsia"/>
          <w:lang w:eastAsia="zh-CN"/>
        </w:rPr>
        <w:t>商务部最新数据显示，</w:t>
      </w:r>
      <w:r>
        <w:rPr>
          <w:lang w:eastAsia="zh-CN"/>
        </w:rPr>
        <w:t>2020年全年，我国新能源汽车产销量分别为136.6万辆和136.7万辆，</w:t>
      </w:r>
      <w:r>
        <w:rPr>
          <w:lang w:eastAsia="zh-CN"/>
        </w:rPr>
        <w:lastRenderedPageBreak/>
        <w:t>创历史新高。杨件认为，预计今年新能源汽车市场将持续发展，铜箔需求旺盛，但铜价和铜箔价格尚未出现走弱迹象，加之国内铜箔生产商扩产进度较为缓慢，铜箔价格或维持上涨态势。</w:t>
      </w:r>
    </w:p>
    <w:p w:rsidR="004336DA" w:rsidRPr="004336DA" w:rsidRDefault="004336DA" w:rsidP="004336DA">
      <w:pPr>
        <w:pStyle w:val="a4"/>
        <w:spacing w:before="156" w:after="156"/>
        <w:ind w:firstLine="482"/>
        <w:rPr>
          <w:b/>
          <w:bCs/>
          <w:lang w:eastAsia="zh-CN"/>
        </w:rPr>
      </w:pPr>
      <w:r w:rsidRPr="004336DA">
        <w:rPr>
          <w:rFonts w:hint="eastAsia"/>
          <w:b/>
          <w:bCs/>
          <w:lang w:eastAsia="zh-CN"/>
        </w:rPr>
        <w:t>龙头企业忙扩产</w:t>
      </w:r>
    </w:p>
    <w:p w:rsidR="004336DA" w:rsidRDefault="004336DA" w:rsidP="004336DA">
      <w:pPr>
        <w:pStyle w:val="a4"/>
        <w:spacing w:before="156" w:after="156"/>
        <w:ind w:firstLine="480"/>
        <w:rPr>
          <w:lang w:eastAsia="zh-CN"/>
        </w:rPr>
      </w:pPr>
      <w:r>
        <w:rPr>
          <w:rFonts w:hint="eastAsia"/>
          <w:lang w:eastAsia="zh-CN"/>
        </w:rPr>
        <w:t>“目前公司产销两旺，订单排到了二季度。”诺德股份副总裁兼董秘李鹏程介绍，锂电铜箔已是供不应求，订单量远大于工厂产量，目前公司不断优化有效产能，产能利用率处在高位。</w:t>
      </w:r>
    </w:p>
    <w:p w:rsidR="004336DA" w:rsidRDefault="004336DA" w:rsidP="004336DA">
      <w:pPr>
        <w:pStyle w:val="a4"/>
        <w:spacing w:before="156" w:after="156"/>
        <w:ind w:firstLine="480"/>
        <w:rPr>
          <w:lang w:eastAsia="zh-CN"/>
        </w:rPr>
      </w:pPr>
      <w:r>
        <w:rPr>
          <w:rFonts w:hint="eastAsia"/>
          <w:lang w:eastAsia="zh-CN"/>
        </w:rPr>
        <w:t>嘉元科技相关负责人透露，</w:t>
      </w:r>
      <w:r>
        <w:rPr>
          <w:lang w:eastAsia="zh-CN"/>
        </w:rPr>
        <w:t>2020年下半年以来，公司一直处于满产满销状态。超华科技也表示，公司目前铜箔订单充足，2020年下半年至今，铜箔加工费涨幅约30%至40%。</w:t>
      </w:r>
    </w:p>
    <w:p w:rsidR="004336DA" w:rsidRDefault="004336DA" w:rsidP="004336DA">
      <w:pPr>
        <w:pStyle w:val="a4"/>
        <w:spacing w:before="156" w:after="156"/>
        <w:ind w:firstLine="480"/>
        <w:rPr>
          <w:lang w:eastAsia="zh-CN"/>
        </w:rPr>
      </w:pPr>
      <w:r>
        <w:rPr>
          <w:rFonts w:hint="eastAsia"/>
          <w:lang w:eastAsia="zh-CN"/>
        </w:rPr>
        <w:t>面对铜箔行业量价齐升的状态，龙头企业纷纷摩拳擦掌，加快扩产。</w:t>
      </w:r>
    </w:p>
    <w:p w:rsidR="004336DA" w:rsidRDefault="004336DA" w:rsidP="004336DA">
      <w:pPr>
        <w:pStyle w:val="a4"/>
        <w:spacing w:before="156" w:after="156"/>
        <w:ind w:firstLine="480"/>
        <w:rPr>
          <w:lang w:eastAsia="zh-CN"/>
        </w:rPr>
      </w:pPr>
      <w:r>
        <w:rPr>
          <w:rFonts w:hint="eastAsia"/>
          <w:lang w:eastAsia="zh-CN"/>
        </w:rPr>
        <w:t>诺德股份于</w:t>
      </w:r>
      <w:r>
        <w:rPr>
          <w:lang w:eastAsia="zh-CN"/>
        </w:rPr>
        <w:t>2020年4月启动再融资，拟募资不超过14.2亿元，其中10亿元用于投资年产1.5万吨高性能极薄锂离子电池用电解铜箔工程项目。“公司铜箔产能为年产4.3万吨，产能利用率稳步提升，今年公司仍有产能扩充计划。”李鹏程说。</w:t>
      </w:r>
    </w:p>
    <w:p w:rsidR="004336DA" w:rsidRDefault="004336DA" w:rsidP="004336DA">
      <w:pPr>
        <w:pStyle w:val="a4"/>
        <w:spacing w:before="156" w:after="156"/>
        <w:ind w:firstLine="480"/>
        <w:rPr>
          <w:lang w:eastAsia="zh-CN"/>
        </w:rPr>
      </w:pPr>
      <w:r>
        <w:rPr>
          <w:rFonts w:hint="eastAsia"/>
          <w:lang w:eastAsia="zh-CN"/>
        </w:rPr>
        <w:t>嘉元科技扩产动作不断。公司正在发行的</w:t>
      </w:r>
      <w:r>
        <w:rPr>
          <w:lang w:eastAsia="zh-CN"/>
        </w:rPr>
        <w:t>12.4亿元可转债，募投项目之一为年产1.5万吨高性能铜箔建设。2020年11月，嘉元科技宣布在江西赣州建设年产2万吨电解铜箔项目。据披露，公司目前已拥有1.6万吨/年的铜箔生产能力，在建或处于规划阶段的产能，包括5000吨/年新能源动力电池用高性能铜箔技术改造项目、年产1.5万吨高性能铜箔项目，以及年产1.5万吨高性能铜箔项目。</w:t>
      </w:r>
    </w:p>
    <w:p w:rsidR="004336DA" w:rsidRDefault="004336DA" w:rsidP="004336DA">
      <w:pPr>
        <w:pStyle w:val="a4"/>
        <w:spacing w:before="156" w:after="156"/>
        <w:ind w:firstLine="480"/>
        <w:rPr>
          <w:lang w:eastAsia="zh-CN"/>
        </w:rPr>
      </w:pPr>
      <w:r>
        <w:rPr>
          <w:lang w:eastAsia="zh-CN"/>
        </w:rPr>
        <w:t>2020年10月，超华科技披露再融资预案，拟募资不超过18亿元，投向年产1万吨高精度超薄锂电铜箔建设、年产600万张高端芯板等项目。据悉，2020年，超华科技的铜箔总产能达2万吨，目前公司具备4.5μm锂电铜箔生产能力，同时具备6μm锂电铜箔、高频高速铜箔的量产能力。</w:t>
      </w:r>
    </w:p>
    <w:p w:rsidR="004336DA" w:rsidRDefault="004336DA" w:rsidP="004336DA">
      <w:pPr>
        <w:pStyle w:val="a4"/>
        <w:spacing w:before="156" w:after="156"/>
        <w:ind w:firstLine="480"/>
        <w:rPr>
          <w:lang w:eastAsia="zh-CN"/>
        </w:rPr>
      </w:pPr>
      <w:r>
        <w:rPr>
          <w:rFonts w:hint="eastAsia"/>
          <w:lang w:eastAsia="zh-CN"/>
        </w:rPr>
        <w:t>此外，正在冲刺上市的中一科技、铜冠铜箔等也披露了扩产计划。</w:t>
      </w:r>
    </w:p>
    <w:p w:rsidR="004336DA" w:rsidRPr="004336DA" w:rsidRDefault="004336DA" w:rsidP="004336DA">
      <w:pPr>
        <w:pStyle w:val="a4"/>
        <w:spacing w:before="156" w:after="156"/>
        <w:ind w:firstLine="482"/>
        <w:rPr>
          <w:b/>
          <w:bCs/>
          <w:lang w:eastAsia="zh-CN"/>
        </w:rPr>
      </w:pPr>
      <w:r w:rsidRPr="004336DA">
        <w:rPr>
          <w:rFonts w:hint="eastAsia"/>
          <w:b/>
          <w:bCs/>
          <w:lang w:eastAsia="zh-CN"/>
        </w:rPr>
        <w:t>产能释放尚需时日</w:t>
      </w:r>
    </w:p>
    <w:p w:rsidR="004336DA" w:rsidRDefault="004336DA" w:rsidP="004336DA">
      <w:pPr>
        <w:pStyle w:val="a4"/>
        <w:spacing w:before="156" w:after="156"/>
        <w:ind w:firstLine="480"/>
        <w:rPr>
          <w:lang w:eastAsia="zh-CN"/>
        </w:rPr>
      </w:pPr>
      <w:r>
        <w:rPr>
          <w:rFonts w:hint="eastAsia"/>
          <w:lang w:eastAsia="zh-CN"/>
        </w:rPr>
        <w:t>尽管国内铜箔企业都在忙扩产，但闫志刚认为：“不管是从设备还是技术看，铜箔行业都不是一个‘大干快上’的行业，短期内需求缺口难以填补。”</w:t>
      </w:r>
    </w:p>
    <w:p w:rsidR="004336DA" w:rsidRDefault="004336DA" w:rsidP="004336DA">
      <w:pPr>
        <w:pStyle w:val="a4"/>
        <w:spacing w:before="156" w:after="156"/>
        <w:ind w:firstLine="480"/>
        <w:rPr>
          <w:lang w:eastAsia="zh-CN"/>
        </w:rPr>
      </w:pPr>
      <w:r>
        <w:rPr>
          <w:rFonts w:hint="eastAsia"/>
          <w:lang w:eastAsia="zh-CN"/>
        </w:rPr>
        <w:t>铜箔扩产主要受制于铜箔设备厂家的产能及设备订货周期。以生产</w:t>
      </w:r>
      <w:r>
        <w:rPr>
          <w:lang w:eastAsia="zh-CN"/>
        </w:rPr>
        <w:t>6μm铜箔的核心设备为例，目前国内企业所用设备主要是从日本进口的高端阴极辊，但日本相关厂商扩产意愿不强，国内锂电铜箔在建、规划产能否真正释放要打上问号。</w:t>
      </w:r>
    </w:p>
    <w:p w:rsidR="004336DA" w:rsidRDefault="004336DA" w:rsidP="004336DA">
      <w:pPr>
        <w:pStyle w:val="a4"/>
        <w:spacing w:before="156" w:after="156"/>
        <w:ind w:firstLine="480"/>
        <w:rPr>
          <w:lang w:eastAsia="zh-CN"/>
        </w:rPr>
      </w:pPr>
      <w:r>
        <w:rPr>
          <w:rFonts w:hint="eastAsia"/>
          <w:lang w:eastAsia="zh-CN"/>
        </w:rPr>
        <w:lastRenderedPageBreak/>
        <w:t>李鹏程介绍，目前进口的主要设备订购周期在</w:t>
      </w:r>
      <w:r>
        <w:rPr>
          <w:lang w:eastAsia="zh-CN"/>
        </w:rPr>
        <w:t>2年左右，国产替代设备的技术水平虽逐步上升，但设备量较少。“与国外相比，目前国内整体交期较短，但也需排队订购。”</w:t>
      </w:r>
    </w:p>
    <w:p w:rsidR="004336DA" w:rsidRDefault="004336DA" w:rsidP="004336DA">
      <w:pPr>
        <w:pStyle w:val="a4"/>
        <w:spacing w:before="156" w:after="156"/>
        <w:ind w:firstLine="480"/>
        <w:rPr>
          <w:lang w:eastAsia="zh-CN"/>
        </w:rPr>
      </w:pPr>
      <w:r>
        <w:rPr>
          <w:rFonts w:hint="eastAsia"/>
          <w:lang w:eastAsia="zh-CN"/>
        </w:rPr>
        <w:t>“对于设备参数的调试、添加剂的配制，均需较长时间的生产与工艺的积累，不管是新建产能，还是旧产线的切换，都存在较大难度。”闫志刚认为，尽管锂电铜箔厂商目前多数处于满产扩产状态，但优质产能尤其是薄片化的</w:t>
      </w:r>
      <w:r>
        <w:rPr>
          <w:lang w:eastAsia="zh-CN"/>
        </w:rPr>
        <w:t>6μm铜箔产能，今年仍将出现缺口。</w:t>
      </w:r>
    </w:p>
    <w:p w:rsidR="004336DA" w:rsidRDefault="004336DA" w:rsidP="004336DA">
      <w:pPr>
        <w:pStyle w:val="a4"/>
        <w:spacing w:before="156" w:after="156"/>
        <w:ind w:firstLine="480"/>
        <w:rPr>
          <w:lang w:eastAsia="zh-CN"/>
        </w:rPr>
      </w:pPr>
      <w:r>
        <w:rPr>
          <w:rFonts w:hint="eastAsia"/>
          <w:lang w:eastAsia="zh-CN"/>
        </w:rPr>
        <w:t>随着下游电池厂家对更轻薄化的高端铜箔提出更多需求，产业链上的龙头企业也在进行突围和升级。</w:t>
      </w:r>
    </w:p>
    <w:p w:rsidR="004336DA" w:rsidRDefault="004336DA" w:rsidP="004336DA">
      <w:pPr>
        <w:pStyle w:val="a4"/>
        <w:spacing w:before="156" w:after="156"/>
        <w:ind w:firstLine="480"/>
        <w:rPr>
          <w:lang w:eastAsia="zh-CN"/>
        </w:rPr>
      </w:pPr>
      <w:r>
        <w:rPr>
          <w:rFonts w:hint="eastAsia"/>
          <w:lang w:eastAsia="zh-CN"/>
        </w:rPr>
        <w:t>目前行业应用端以</w:t>
      </w:r>
      <w:r>
        <w:rPr>
          <w:lang w:eastAsia="zh-CN"/>
        </w:rPr>
        <w:t>8μm及以上锂电铜箔向6μm及以下产品切换为主，形成了动力电池龙头企业主导、一二线企业逐步跟进、行业渗透率逐步提升的趋势。同时，铜箔新增产能将在2022年逐步得以释放，行业或迎新的竞争格局。</w:t>
      </w:r>
    </w:p>
    <w:p w:rsidR="004336DA" w:rsidRDefault="004336DA" w:rsidP="004336DA">
      <w:pPr>
        <w:pStyle w:val="a4"/>
        <w:spacing w:before="156" w:after="156"/>
        <w:ind w:firstLine="480"/>
        <w:rPr>
          <w:lang w:eastAsia="zh-CN"/>
        </w:rPr>
      </w:pPr>
      <w:r>
        <w:rPr>
          <w:rFonts w:hint="eastAsia"/>
          <w:lang w:eastAsia="zh-CN"/>
        </w:rPr>
        <w:t>“优势集中，强者恒强，这是行业发展的关键。”一名业内人士表示，那些在业内拥有技术积累、创新优势的铜箔企业可依靠稳定的供应关系强化优势，享受到产品迭代的技术红利。</w:t>
      </w:r>
    </w:p>
    <w:p w:rsidR="00425B93" w:rsidRDefault="0078553C" w:rsidP="008659C3">
      <w:pPr>
        <w:pStyle w:val="2"/>
        <w:spacing w:before="156" w:after="156"/>
      </w:pPr>
      <w:bookmarkStart w:id="32" w:name="_Toc62456445"/>
      <w:r w:rsidRPr="0078553C">
        <w:rPr>
          <w:rFonts w:hint="eastAsia"/>
        </w:rPr>
        <w:t>重磅！沪深楼市调控升级，剑指假结婚假离婚买房</w:t>
      </w:r>
      <w:bookmarkEnd w:id="32"/>
    </w:p>
    <w:p w:rsidR="0078553C" w:rsidRDefault="0078553C" w:rsidP="0078553C">
      <w:pPr>
        <w:pStyle w:val="a4"/>
        <w:spacing w:before="156" w:after="156"/>
        <w:ind w:firstLine="480"/>
        <w:rPr>
          <w:lang w:eastAsia="zh-CN"/>
        </w:rPr>
      </w:pPr>
      <w:r>
        <w:rPr>
          <w:rFonts w:hint="eastAsia"/>
          <w:lang w:eastAsia="zh-CN"/>
        </w:rPr>
        <w:t>沪深房地产调控升级！</w:t>
      </w:r>
    </w:p>
    <w:p w:rsidR="0078553C" w:rsidRDefault="0078553C" w:rsidP="0078553C">
      <w:pPr>
        <w:pStyle w:val="a4"/>
        <w:spacing w:before="156" w:after="156"/>
        <w:ind w:firstLine="480"/>
        <w:rPr>
          <w:lang w:eastAsia="zh-CN"/>
        </w:rPr>
      </w:pPr>
      <w:r>
        <w:rPr>
          <w:lang w:eastAsia="zh-CN"/>
        </w:rPr>
        <w:t>1月21日，上海、深圳出台楼市新政，对假离婚、假结婚买房现象重拳出击。其中，上海夫妻离异的，任何一方自夫妻离异之日起3年内购买商品住房的，其拥有住房套数按离异前家庭总套数计算；深圳对不具备购房资格的家庭成员，暂停夫妻婚内更名。</w:t>
      </w:r>
    </w:p>
    <w:p w:rsidR="0078553C" w:rsidRDefault="0078553C" w:rsidP="0078553C">
      <w:pPr>
        <w:pStyle w:val="a4"/>
        <w:spacing w:before="156" w:after="156"/>
        <w:ind w:firstLine="480"/>
        <w:rPr>
          <w:lang w:eastAsia="zh-CN"/>
        </w:rPr>
      </w:pPr>
      <w:r>
        <w:rPr>
          <w:rFonts w:hint="eastAsia"/>
          <w:lang w:eastAsia="zh-CN"/>
        </w:rPr>
        <w:t>业内人士表示，沪深两市房地产调控维持高压，“钻空子”买房的操作空间被大幅压缩。</w:t>
      </w:r>
    </w:p>
    <w:p w:rsidR="0078553C" w:rsidRPr="0078553C" w:rsidRDefault="0078553C" w:rsidP="0078553C">
      <w:pPr>
        <w:pStyle w:val="a4"/>
        <w:spacing w:before="156" w:after="156"/>
        <w:ind w:firstLine="482"/>
        <w:rPr>
          <w:b/>
          <w:bCs/>
          <w:lang w:eastAsia="zh-CN"/>
        </w:rPr>
      </w:pPr>
      <w:r w:rsidRPr="0078553C">
        <w:rPr>
          <w:rFonts w:hint="eastAsia"/>
          <w:b/>
          <w:bCs/>
          <w:lang w:eastAsia="zh-CN"/>
        </w:rPr>
        <w:t>上海重拳出击</w:t>
      </w:r>
    </w:p>
    <w:p w:rsidR="0078553C" w:rsidRDefault="0078553C" w:rsidP="0078553C">
      <w:pPr>
        <w:pStyle w:val="a4"/>
        <w:spacing w:before="156" w:after="156"/>
        <w:ind w:firstLine="480"/>
        <w:rPr>
          <w:lang w:eastAsia="zh-CN"/>
        </w:rPr>
      </w:pPr>
      <w:r>
        <w:rPr>
          <w:rFonts w:hint="eastAsia"/>
          <w:lang w:eastAsia="zh-CN"/>
        </w:rPr>
        <w:t>近期燥热的上海楼市，遭遇监管“重拳”出击！</w:t>
      </w:r>
    </w:p>
    <w:p w:rsidR="0078553C" w:rsidRDefault="0078553C" w:rsidP="0078553C">
      <w:pPr>
        <w:pStyle w:val="a4"/>
        <w:spacing w:before="156" w:after="156"/>
        <w:ind w:firstLine="480"/>
        <w:rPr>
          <w:lang w:eastAsia="zh-CN"/>
        </w:rPr>
      </w:pPr>
      <w:r>
        <w:rPr>
          <w:lang w:eastAsia="zh-CN"/>
        </w:rPr>
        <w:t>1月21日晚，上海市房屋管理局等多部门发布《关于促进本市房地产市场平稳健康发展的意见》（以下简称《意见》），从土地到规范市场秩序等多纬度管控市场。《意见》自2021年1月22日起施行。</w:t>
      </w:r>
    </w:p>
    <w:p w:rsidR="0078553C" w:rsidRDefault="0078553C" w:rsidP="0078553C">
      <w:pPr>
        <w:pStyle w:val="a4"/>
        <w:spacing w:before="156" w:after="156"/>
        <w:ind w:firstLine="480"/>
        <w:rPr>
          <w:lang w:eastAsia="zh-CN"/>
        </w:rPr>
      </w:pPr>
      <w:r>
        <w:rPr>
          <w:rFonts w:hint="eastAsia"/>
          <w:lang w:eastAsia="zh-CN"/>
        </w:rPr>
        <w:t>中原地产分析师卢文曦表示，近期上海楼市躁动，及时出台政策，打击市场乱象，可以稳定市场情绪和预期。</w:t>
      </w:r>
    </w:p>
    <w:p w:rsidR="0078553C" w:rsidRDefault="0078553C" w:rsidP="0078553C">
      <w:pPr>
        <w:pStyle w:val="a4"/>
        <w:spacing w:before="156" w:after="156"/>
        <w:ind w:firstLine="480"/>
        <w:rPr>
          <w:lang w:eastAsia="zh-CN"/>
        </w:rPr>
      </w:pPr>
      <w:r>
        <w:rPr>
          <w:rFonts w:hint="eastAsia"/>
          <w:lang w:eastAsia="zh-CN"/>
        </w:rPr>
        <w:t>《意见》指出，要严格执行住房限购政策。夫妻离异的，任何一方自夫妻离异之日起</w:t>
      </w:r>
      <w:r>
        <w:rPr>
          <w:lang w:eastAsia="zh-CN"/>
        </w:rPr>
        <w:t>3年内购买商品住房的，其拥有住房套数按离异前家庭总套数计算。</w:t>
      </w:r>
    </w:p>
    <w:p w:rsidR="0078553C" w:rsidRDefault="0078553C" w:rsidP="0078553C">
      <w:pPr>
        <w:pStyle w:val="a4"/>
        <w:spacing w:before="156" w:after="156"/>
        <w:ind w:firstLine="480"/>
        <w:rPr>
          <w:lang w:eastAsia="zh-CN"/>
        </w:rPr>
      </w:pPr>
      <w:r>
        <w:rPr>
          <w:rFonts w:hint="eastAsia"/>
          <w:lang w:eastAsia="zh-CN"/>
        </w:rPr>
        <w:lastRenderedPageBreak/>
        <w:t>卢文曦认为，这可以堵住限购漏洞。易居研究院智库中心研究总监严跃进认为，该政策将打击假离婚买房现象。</w:t>
      </w:r>
    </w:p>
    <w:p w:rsidR="0078553C" w:rsidRDefault="0078553C" w:rsidP="0078553C">
      <w:pPr>
        <w:pStyle w:val="a4"/>
        <w:spacing w:before="156" w:after="156"/>
        <w:ind w:firstLine="480"/>
        <w:rPr>
          <w:lang w:eastAsia="zh-CN"/>
        </w:rPr>
      </w:pPr>
      <w:r>
        <w:rPr>
          <w:rFonts w:hint="eastAsia"/>
          <w:lang w:eastAsia="zh-CN"/>
        </w:rPr>
        <w:t>《意见》提出，调整增值税征免年限，将个人对外销售住房增值税征免年限从</w:t>
      </w:r>
      <w:r>
        <w:rPr>
          <w:lang w:eastAsia="zh-CN"/>
        </w:rPr>
        <w:t>2年提高至5年。</w:t>
      </w:r>
    </w:p>
    <w:p w:rsidR="0078553C" w:rsidRDefault="0078553C" w:rsidP="0078553C">
      <w:pPr>
        <w:pStyle w:val="a4"/>
        <w:spacing w:before="156" w:after="156"/>
        <w:ind w:firstLine="480"/>
        <w:rPr>
          <w:lang w:eastAsia="zh-CN"/>
        </w:rPr>
      </w:pPr>
      <w:r>
        <w:rPr>
          <w:rFonts w:hint="eastAsia"/>
          <w:lang w:eastAsia="zh-CN"/>
        </w:rPr>
        <w:t>卢文曦称，由于市场存在炒作氛围，尤其是打新热，买到新房后随即转让有差价可赚，提高增值税免征年限可以提高炒作成本。</w:t>
      </w:r>
    </w:p>
    <w:p w:rsidR="0078553C" w:rsidRDefault="0078553C" w:rsidP="0078553C">
      <w:pPr>
        <w:pStyle w:val="a4"/>
        <w:spacing w:before="156" w:after="156"/>
        <w:ind w:firstLine="480"/>
        <w:rPr>
          <w:lang w:eastAsia="zh-CN"/>
        </w:rPr>
      </w:pPr>
      <w:r>
        <w:rPr>
          <w:rFonts w:hint="eastAsia"/>
          <w:lang w:eastAsia="zh-CN"/>
        </w:rPr>
        <w:t>严跃进表示，政策从税费角度进行了管控，此类政策使得二手房的交易税费成本增大，防范部分房源快买快卖现象，有助于促进二手房交易的稳定。类似政策对于后续二手房交易影响较大。</w:t>
      </w:r>
    </w:p>
    <w:p w:rsidR="0078553C" w:rsidRDefault="0078553C" w:rsidP="0078553C">
      <w:pPr>
        <w:pStyle w:val="a4"/>
        <w:spacing w:before="156" w:after="156"/>
        <w:ind w:firstLine="480"/>
        <w:rPr>
          <w:lang w:eastAsia="zh-CN"/>
        </w:rPr>
      </w:pPr>
      <w:r>
        <w:rPr>
          <w:rFonts w:hint="eastAsia"/>
          <w:lang w:eastAsia="zh-CN"/>
        </w:rPr>
        <w:t>《意见》表示，严格商品住房销售管理。严格新建商品住房销售方案备案管理。完善新建商品住房公证摇号选房制度，优先满足“无房家庭”自住购房需求。</w:t>
      </w:r>
    </w:p>
    <w:p w:rsidR="0078553C" w:rsidRDefault="0078553C" w:rsidP="0078553C">
      <w:pPr>
        <w:pStyle w:val="a4"/>
        <w:spacing w:before="156" w:after="156"/>
        <w:ind w:firstLine="480"/>
        <w:rPr>
          <w:lang w:eastAsia="zh-CN"/>
        </w:rPr>
      </w:pPr>
      <w:r>
        <w:rPr>
          <w:rFonts w:hint="eastAsia"/>
          <w:lang w:eastAsia="zh-CN"/>
        </w:rPr>
        <w:t>严跃进称，预计后续上海还会出台各类摇号选房制度，类似优先认购的制度，真正保障购房者尤其是无房者的权益。</w:t>
      </w:r>
    </w:p>
    <w:p w:rsidR="0078553C" w:rsidRDefault="0078553C" w:rsidP="0078553C">
      <w:pPr>
        <w:pStyle w:val="a4"/>
        <w:spacing w:before="156" w:after="156"/>
        <w:ind w:firstLine="480"/>
        <w:rPr>
          <w:lang w:eastAsia="zh-CN"/>
        </w:rPr>
      </w:pPr>
      <w:r>
        <w:rPr>
          <w:rFonts w:hint="eastAsia"/>
          <w:lang w:eastAsia="zh-CN"/>
        </w:rPr>
        <w:t>《意见》要求，严格执行差别化住房信贷政策。实施好房地产贷款集中度管理，加强个人住房贷款审慎管理。</w:t>
      </w:r>
    </w:p>
    <w:p w:rsidR="0078553C" w:rsidRDefault="0078553C" w:rsidP="0078553C">
      <w:pPr>
        <w:pStyle w:val="a4"/>
        <w:spacing w:before="156" w:after="156"/>
        <w:ind w:firstLine="480"/>
        <w:rPr>
          <w:lang w:eastAsia="zh-CN"/>
        </w:rPr>
      </w:pPr>
      <w:r>
        <w:rPr>
          <w:rFonts w:hint="eastAsia"/>
          <w:lang w:eastAsia="zh-CN"/>
        </w:rPr>
        <w:t>严跃进认为，</w:t>
      </w:r>
      <w:r>
        <w:rPr>
          <w:lang w:eastAsia="zh-CN"/>
        </w:rPr>
        <w:t>2021年是央行等部门落实房贷集中度管理政策的一年，后续银行在贷款方面势必更为保守，需要在三道红线的约束下放贷。部分炒作比较严重的楼盘，后续贷款方面可能面临收紧。</w:t>
      </w:r>
    </w:p>
    <w:p w:rsidR="0078553C" w:rsidRDefault="0078553C" w:rsidP="0078553C">
      <w:pPr>
        <w:pStyle w:val="a4"/>
        <w:spacing w:before="156" w:after="156"/>
        <w:ind w:firstLine="480"/>
        <w:rPr>
          <w:lang w:eastAsia="zh-CN"/>
        </w:rPr>
      </w:pPr>
      <w:r>
        <w:rPr>
          <w:rFonts w:hint="eastAsia"/>
          <w:lang w:eastAsia="zh-CN"/>
        </w:rPr>
        <w:t>《意见》强调，要加强政策宣传。加强房地产市场监测，正确解读房地产市场调控政策措施，稳定市场预期，引导合理住房消费。依法加大对编造谣言扰乱市场秩序、散布不实信息误导市场预期等行为的查处力度。</w:t>
      </w:r>
    </w:p>
    <w:p w:rsidR="0078553C" w:rsidRDefault="0078553C" w:rsidP="0078553C">
      <w:pPr>
        <w:pStyle w:val="a4"/>
        <w:spacing w:before="156" w:after="156"/>
        <w:ind w:firstLine="480"/>
        <w:rPr>
          <w:lang w:eastAsia="zh-CN"/>
        </w:rPr>
      </w:pPr>
      <w:r>
        <w:rPr>
          <w:rFonts w:hint="eastAsia"/>
          <w:lang w:eastAsia="zh-CN"/>
        </w:rPr>
        <w:t>卢文曦预计，新房市场打新热有望降温，认筹率超过</w:t>
      </w:r>
      <w:r>
        <w:rPr>
          <w:lang w:eastAsia="zh-CN"/>
        </w:rPr>
        <w:t>100％的项目会明显减少。由于增值税免征年限延长，短期内这个交易成本难以转嫁到下家，价格有重新磨合的过程。尤其是在出台收紧政策后，市场预期会转变，短期二手房价格会理性回归。当然，政策储备中还有很多工具未使用，比如限售等，如果3、4月份上海楼市还是有非理性升温，不排除调控继续加码的可能。</w:t>
      </w:r>
    </w:p>
    <w:p w:rsidR="0078553C" w:rsidRPr="0078553C" w:rsidRDefault="0078553C" w:rsidP="0078553C">
      <w:pPr>
        <w:pStyle w:val="a4"/>
        <w:spacing w:before="156" w:after="156"/>
        <w:ind w:firstLine="482"/>
        <w:rPr>
          <w:b/>
          <w:bCs/>
          <w:lang w:eastAsia="zh-CN"/>
        </w:rPr>
      </w:pPr>
      <w:r w:rsidRPr="0078553C">
        <w:rPr>
          <w:rFonts w:hint="eastAsia"/>
          <w:b/>
          <w:bCs/>
          <w:lang w:eastAsia="zh-CN"/>
        </w:rPr>
        <w:t>深圳围堵假结婚购房</w:t>
      </w:r>
    </w:p>
    <w:p w:rsidR="0078553C" w:rsidRDefault="0078553C" w:rsidP="0078553C">
      <w:pPr>
        <w:pStyle w:val="a4"/>
        <w:spacing w:before="156" w:after="156"/>
        <w:ind w:firstLine="480"/>
        <w:rPr>
          <w:lang w:eastAsia="zh-CN"/>
        </w:rPr>
      </w:pPr>
      <w:r>
        <w:rPr>
          <w:rFonts w:hint="eastAsia"/>
          <w:lang w:eastAsia="zh-CN"/>
        </w:rPr>
        <w:t>近日，一份深圳市住房和建设局关于明确《关于进一步促进我市房地产市场平稳健康发展</w:t>
      </w:r>
      <w:r>
        <w:rPr>
          <w:rFonts w:hint="eastAsia"/>
          <w:lang w:eastAsia="zh-CN"/>
        </w:rPr>
        <w:lastRenderedPageBreak/>
        <w:t>的通知》若干问题的函流传开来，落款时间为</w:t>
      </w:r>
      <w:r>
        <w:rPr>
          <w:lang w:eastAsia="zh-CN"/>
        </w:rPr>
        <w:t>1月19日。</w:t>
      </w:r>
    </w:p>
    <w:p w:rsidR="0078553C" w:rsidRDefault="0078553C" w:rsidP="0078553C">
      <w:pPr>
        <w:pStyle w:val="a4"/>
        <w:spacing w:before="156" w:after="156"/>
        <w:ind w:firstLine="480"/>
        <w:rPr>
          <w:lang w:eastAsia="zh-CN"/>
        </w:rPr>
      </w:pPr>
      <w:r>
        <w:rPr>
          <w:rFonts w:hint="eastAsia"/>
          <w:lang w:eastAsia="zh-CN"/>
        </w:rPr>
        <w:t>该文件重点：</w:t>
      </w:r>
    </w:p>
    <w:p w:rsidR="0078553C" w:rsidRDefault="0078553C" w:rsidP="0078553C">
      <w:pPr>
        <w:pStyle w:val="a4"/>
        <w:spacing w:before="156" w:after="156"/>
        <w:ind w:firstLine="480"/>
        <w:rPr>
          <w:lang w:eastAsia="zh-CN"/>
        </w:rPr>
      </w:pPr>
      <w:r>
        <w:rPr>
          <w:lang w:eastAsia="zh-CN"/>
        </w:rPr>
        <w:t>1.“715新政”在途交易办理手续的截止日期延长一个月，至2021年1月31日。</w:t>
      </w:r>
    </w:p>
    <w:p w:rsidR="0078553C" w:rsidRDefault="0078553C" w:rsidP="0078553C">
      <w:pPr>
        <w:pStyle w:val="a4"/>
        <w:spacing w:before="156" w:after="156"/>
        <w:ind w:firstLine="480"/>
        <w:rPr>
          <w:lang w:eastAsia="zh-CN"/>
        </w:rPr>
      </w:pPr>
      <w:r>
        <w:rPr>
          <w:lang w:eastAsia="zh-CN"/>
        </w:rPr>
        <w:t>2.高层次人才购买首套住宅无需社保或个税证明，购买二套住宅按深圳现行限购政策执行。</w:t>
      </w:r>
    </w:p>
    <w:p w:rsidR="0078553C" w:rsidRDefault="0078553C" w:rsidP="0078553C">
      <w:pPr>
        <w:pStyle w:val="a4"/>
        <w:spacing w:before="156" w:after="156"/>
        <w:ind w:firstLine="480"/>
        <w:rPr>
          <w:lang w:eastAsia="zh-CN"/>
        </w:rPr>
      </w:pPr>
      <w:r>
        <w:rPr>
          <w:lang w:eastAsia="zh-CN"/>
        </w:rPr>
        <w:t>3.家庭购买商品住房，只能登记在具有购房资格的家庭成员名下。</w:t>
      </w:r>
    </w:p>
    <w:p w:rsidR="0078553C" w:rsidRDefault="0078553C" w:rsidP="0078553C">
      <w:pPr>
        <w:pStyle w:val="a4"/>
        <w:spacing w:before="156" w:after="156"/>
        <w:ind w:firstLine="480"/>
        <w:rPr>
          <w:lang w:eastAsia="zh-CN"/>
        </w:rPr>
      </w:pPr>
      <w:r>
        <w:rPr>
          <w:lang w:eastAsia="zh-CN"/>
        </w:rPr>
        <w:t>1月21日，中证君从深圳住建局获悉，上述文件内容真实。</w:t>
      </w:r>
    </w:p>
    <w:p w:rsidR="0078553C" w:rsidRDefault="0078553C" w:rsidP="0078553C">
      <w:pPr>
        <w:pStyle w:val="a4"/>
        <w:spacing w:before="156" w:after="156"/>
        <w:ind w:firstLine="480"/>
        <w:rPr>
          <w:lang w:eastAsia="zh-CN"/>
        </w:rPr>
      </w:pPr>
      <w:r>
        <w:rPr>
          <w:rFonts w:hint="eastAsia"/>
          <w:lang w:eastAsia="zh-CN"/>
        </w:rPr>
        <w:t>根据上述文件，</w:t>
      </w:r>
      <w:r>
        <w:rPr>
          <w:lang w:eastAsia="zh-CN"/>
        </w:rPr>
        <w:t>2020年7月29日发布的《深圳市住房和建设局关于贯彻落实&lt;关于进一步促进我市房地产市场平稳健康发展的通知&gt;的通知》第三条第(五)项关于家庭购房登记的规定不再执行。该项内容为：居民家庭夫妻双方只有一个人符合购房条件的，购买的商品住房只能登记在符合购房条件的一方或双方名下，不得单独登记在不符合购房条件的一方名下。</w:t>
      </w:r>
    </w:p>
    <w:p w:rsidR="0078553C" w:rsidRDefault="0078553C" w:rsidP="0078553C">
      <w:pPr>
        <w:pStyle w:val="a4"/>
        <w:spacing w:before="156" w:after="156"/>
        <w:ind w:firstLine="480"/>
        <w:rPr>
          <w:lang w:eastAsia="zh-CN"/>
        </w:rPr>
      </w:pPr>
      <w:r>
        <w:rPr>
          <w:rFonts w:hint="eastAsia"/>
          <w:lang w:eastAsia="zh-CN"/>
        </w:rPr>
        <w:t>对于上述政策变动，深圳市不动产登记中心火速跟进。</w:t>
      </w:r>
    </w:p>
    <w:p w:rsidR="0078553C" w:rsidRDefault="0078553C" w:rsidP="0078553C">
      <w:pPr>
        <w:pStyle w:val="a4"/>
        <w:spacing w:before="156" w:after="156"/>
        <w:ind w:firstLine="480"/>
        <w:rPr>
          <w:lang w:eastAsia="zh-CN"/>
        </w:rPr>
      </w:pPr>
      <w:r>
        <w:rPr>
          <w:lang w:eastAsia="zh-CN"/>
        </w:rPr>
        <w:t>1月21日，一份深圳市不动产登记中心关于转发《深圳市住房和建设局关于明确&lt;关于进一步促进我市房地产市场平稳健康发展的通知&gt;若干问题的函》的通知（下称通知）迅速传开。</w:t>
      </w:r>
    </w:p>
    <w:p w:rsidR="0078553C" w:rsidRDefault="0078553C" w:rsidP="0078553C">
      <w:pPr>
        <w:pStyle w:val="a4"/>
        <w:spacing w:before="156" w:after="156"/>
        <w:ind w:firstLine="480"/>
        <w:rPr>
          <w:lang w:eastAsia="zh-CN"/>
        </w:rPr>
      </w:pPr>
      <w:r>
        <w:rPr>
          <w:rFonts w:hint="eastAsia"/>
          <w:lang w:eastAsia="zh-CN"/>
        </w:rPr>
        <w:t>通知明确，一是居民家庭购买商品房，网签录入时间为</w:t>
      </w:r>
      <w:r>
        <w:rPr>
          <w:lang w:eastAsia="zh-CN"/>
        </w:rPr>
        <w:t>2021年1月19日之后的，严格按来函要求执行；网签录入时间为2021年1月19日（含当天）的在途业务，待市住房和建设局明确后再予以处理。</w:t>
      </w:r>
    </w:p>
    <w:p w:rsidR="0078553C" w:rsidRDefault="0078553C" w:rsidP="0078553C">
      <w:pPr>
        <w:pStyle w:val="a4"/>
        <w:spacing w:before="156" w:after="156"/>
        <w:ind w:firstLine="480"/>
        <w:rPr>
          <w:lang w:eastAsia="zh-CN"/>
        </w:rPr>
      </w:pPr>
      <w:r>
        <w:rPr>
          <w:rFonts w:hint="eastAsia"/>
          <w:lang w:eastAsia="zh-CN"/>
        </w:rPr>
        <w:t>二是居民家庭购房登记在具有购房资格的家庭成员名下后，在婚姻存续期间是否可以进行夫妻财产协议变更等，待市住房和建设局明确后再予以处理。</w:t>
      </w:r>
    </w:p>
    <w:p w:rsidR="0078553C" w:rsidRDefault="0078553C" w:rsidP="0078553C">
      <w:pPr>
        <w:pStyle w:val="a4"/>
        <w:spacing w:before="156" w:after="156"/>
        <w:ind w:firstLine="480"/>
        <w:rPr>
          <w:lang w:eastAsia="zh-CN"/>
        </w:rPr>
      </w:pPr>
      <w:r>
        <w:rPr>
          <w:rFonts w:hint="eastAsia"/>
          <w:lang w:eastAsia="zh-CN"/>
        </w:rPr>
        <w:t>对此，中国证券报记者致电深圳市不动产登记中心，工作人员表示通知文件的内容属实，对于受让方配偶不符合购房条件申请婚内更名的，登记中心</w:t>
      </w:r>
      <w:r>
        <w:rPr>
          <w:lang w:eastAsia="zh-CN"/>
        </w:rPr>
        <w:t>21日已暂停办理。对于此类情况后续能否办理更名过户，需要等待深圳市住建局进一步批复。</w:t>
      </w:r>
    </w:p>
    <w:p w:rsidR="0078553C" w:rsidRDefault="0078553C" w:rsidP="0078553C">
      <w:pPr>
        <w:pStyle w:val="a4"/>
        <w:spacing w:before="156" w:after="156"/>
        <w:ind w:firstLine="480"/>
        <w:rPr>
          <w:lang w:eastAsia="zh-CN"/>
        </w:rPr>
      </w:pPr>
      <w:r>
        <w:rPr>
          <w:rFonts w:hint="eastAsia"/>
          <w:lang w:eastAsia="zh-CN"/>
        </w:rPr>
        <w:t>广东省住房政策研究中心首席研究员李宇嘉表示，</w:t>
      </w:r>
      <w:r>
        <w:rPr>
          <w:lang w:eastAsia="zh-CN"/>
        </w:rPr>
        <w:t>2020年“715新政”及其补充说明明确，夫妻离异的，任何一方自夫妻离异之日起3年内购买商品住房的，其拥有住房套数按离异前家庭总套数计算，即回溯3年衡量购房资格，这相当于把假离婚购房的漏洞堵住了。</w:t>
      </w:r>
    </w:p>
    <w:p w:rsidR="0078553C" w:rsidRPr="0078553C" w:rsidRDefault="0078553C" w:rsidP="0078553C">
      <w:pPr>
        <w:pStyle w:val="a4"/>
        <w:spacing w:before="156" w:after="156"/>
        <w:ind w:firstLine="480"/>
        <w:rPr>
          <w:lang w:eastAsia="zh-CN"/>
        </w:rPr>
      </w:pPr>
      <w:r>
        <w:rPr>
          <w:rFonts w:hint="eastAsia"/>
          <w:lang w:eastAsia="zh-CN"/>
        </w:rPr>
        <w:t>“但仍有部分人钻假结婚买房的空子，不乏机构为外地人到深买房提供一条龙服务，由中介联合小贷公司等收取代理费用，介绍具备购房资格的人结婚、提供过桥融资等。”李宇嘉说，</w:t>
      </w:r>
      <w:r>
        <w:rPr>
          <w:rFonts w:hint="eastAsia"/>
          <w:lang w:eastAsia="zh-CN"/>
        </w:rPr>
        <w:lastRenderedPageBreak/>
        <w:t>事实上，不仅外地人，部分深圳本地没有购房资格的人口也有的采取这种方式。另外，去年以来，深圳房价快速上涨，外地人来深买房比例增加。</w:t>
      </w:r>
    </w:p>
    <w:p w:rsidR="00425B93" w:rsidRDefault="008659C3">
      <w:pPr>
        <w:pStyle w:val="1"/>
        <w:spacing w:before="156" w:after="156"/>
      </w:pPr>
      <w:bookmarkStart w:id="33" w:name="_Toc62456446"/>
      <w:r>
        <w:rPr>
          <w:rFonts w:hint="eastAsia"/>
        </w:rPr>
        <w:t>【国际财经】</w:t>
      </w:r>
      <w:bookmarkEnd w:id="33"/>
    </w:p>
    <w:p w:rsidR="004F2BE7" w:rsidRDefault="004F2BE7" w:rsidP="004F2BE7">
      <w:pPr>
        <w:pStyle w:val="2"/>
        <w:spacing w:before="156" w:after="156"/>
      </w:pPr>
      <w:bookmarkStart w:id="34" w:name="_Toc62456447"/>
      <w:r w:rsidRPr="004F2BE7">
        <w:rPr>
          <w:rFonts w:hint="eastAsia"/>
        </w:rPr>
        <w:t>耶伦呼吁大规模刺激计划支持经济</w:t>
      </w:r>
      <w:bookmarkEnd w:id="34"/>
    </w:p>
    <w:p w:rsidR="004F2BE7" w:rsidRDefault="004F2BE7" w:rsidP="004F2BE7">
      <w:pPr>
        <w:pStyle w:val="a4"/>
        <w:spacing w:before="156" w:after="156"/>
        <w:ind w:firstLine="480"/>
        <w:rPr>
          <w:lang w:eastAsia="zh-CN"/>
        </w:rPr>
      </w:pPr>
      <w:r>
        <w:rPr>
          <w:rFonts w:hint="eastAsia"/>
          <w:lang w:eastAsia="zh-CN"/>
        </w:rPr>
        <w:t>当地时间</w:t>
      </w:r>
      <w:r>
        <w:rPr>
          <w:lang w:eastAsia="zh-CN"/>
        </w:rPr>
        <w:t>1月19日，美国联邦储备委员会前主席、美国新一任财政部长被提名人耶伦在出席国会参议院金融委员会认证听证会时表示，美国政府必须采取进一步行动增加对经济的支持，以度过因疫情造成的衰退危机。此外，耶伦在听证会上还对税收和汇率等一系列话题发表证词陈述。</w:t>
      </w:r>
    </w:p>
    <w:p w:rsidR="004F2BE7" w:rsidRPr="004F2BE7" w:rsidRDefault="004F2BE7" w:rsidP="004F2BE7">
      <w:pPr>
        <w:pStyle w:val="a4"/>
        <w:spacing w:before="156" w:after="156"/>
        <w:ind w:firstLine="482"/>
        <w:rPr>
          <w:b/>
          <w:bCs/>
          <w:lang w:eastAsia="zh-CN"/>
        </w:rPr>
      </w:pPr>
      <w:r w:rsidRPr="004F2BE7">
        <w:rPr>
          <w:rFonts w:hint="eastAsia"/>
          <w:b/>
          <w:bCs/>
          <w:lang w:eastAsia="zh-CN"/>
        </w:rPr>
        <w:t>力挺经济刺激措施</w:t>
      </w:r>
    </w:p>
    <w:p w:rsidR="004F2BE7" w:rsidRDefault="004F2BE7" w:rsidP="004F2BE7">
      <w:pPr>
        <w:pStyle w:val="a4"/>
        <w:spacing w:before="156" w:after="156"/>
        <w:ind w:firstLine="480"/>
        <w:rPr>
          <w:lang w:eastAsia="zh-CN"/>
        </w:rPr>
      </w:pPr>
      <w:r>
        <w:rPr>
          <w:rFonts w:hint="eastAsia"/>
          <w:lang w:eastAsia="zh-CN"/>
        </w:rPr>
        <w:t>耶伦</w:t>
      </w:r>
      <w:r>
        <w:rPr>
          <w:lang w:eastAsia="zh-CN"/>
        </w:rPr>
        <w:t>19日表示，新冠肺炎疫情破坏广泛，如果联邦政府不采取进一步行动，美国经济将可能经历一场更加漫长而痛苦的衰退，并留下长期创伤。她强调现在利率处于历史低点，联邦政府采取行动支持经济是明智选择。</w:t>
      </w:r>
    </w:p>
    <w:p w:rsidR="004F2BE7" w:rsidRDefault="004F2BE7" w:rsidP="004F2BE7">
      <w:pPr>
        <w:pStyle w:val="a4"/>
        <w:spacing w:before="156" w:after="156"/>
        <w:ind w:firstLine="480"/>
        <w:rPr>
          <w:lang w:eastAsia="zh-CN"/>
        </w:rPr>
      </w:pPr>
      <w:r>
        <w:rPr>
          <w:rFonts w:hint="eastAsia"/>
          <w:lang w:eastAsia="zh-CN"/>
        </w:rPr>
        <w:t>耶伦称，联邦政府需要更多资金来分发疫苗、重新开放学校、确保支付失业保险和帮助贫困家庭。耶伦说：“无论是当选总统还是我，在提出新刺激方案时，都没有考虑到美国的债务负担。我相信财政刺激措施带来的好处大于高负债带来的成本，尤其是我们需要帮助那些已经挣扎很长时间的人们。”</w:t>
      </w:r>
    </w:p>
    <w:p w:rsidR="004F2BE7" w:rsidRDefault="004F2BE7" w:rsidP="004F2BE7">
      <w:pPr>
        <w:pStyle w:val="a4"/>
        <w:spacing w:before="156" w:after="156"/>
        <w:ind w:firstLine="480"/>
        <w:rPr>
          <w:lang w:eastAsia="zh-CN"/>
        </w:rPr>
      </w:pPr>
      <w:r>
        <w:rPr>
          <w:rFonts w:hint="eastAsia"/>
          <w:lang w:eastAsia="zh-CN"/>
        </w:rPr>
        <w:t>然而美国斯坦福大学经济学家迈克尔·博斯金认为，低利率环境和疲弱的经济有理由让政府介入，但这种介入应该是有限的。他认为，美国会在未来某个时刻为高涨的债务付出代价。</w:t>
      </w:r>
    </w:p>
    <w:p w:rsidR="004F2BE7" w:rsidRDefault="004F2BE7" w:rsidP="004F2BE7">
      <w:pPr>
        <w:pStyle w:val="a4"/>
        <w:spacing w:before="156" w:after="156"/>
        <w:ind w:firstLine="480"/>
        <w:rPr>
          <w:lang w:eastAsia="zh-CN"/>
        </w:rPr>
      </w:pPr>
      <w:r>
        <w:rPr>
          <w:rFonts w:hint="eastAsia"/>
          <w:lang w:eastAsia="zh-CN"/>
        </w:rPr>
        <w:t>拜登上周宣布的规模</w:t>
      </w:r>
      <w:r>
        <w:rPr>
          <w:lang w:eastAsia="zh-CN"/>
        </w:rPr>
        <w:t>1.9万亿美元的刺激方案将投入4150亿美元加强应对疫情与推广疫苗，向家庭提供约1万亿美元的直接援助，约4400亿美元将支持受疫情影响最大的小型企业与社区。许多美国人将因此收到1400美元的现金支持，加上2020年12月国会通过的600美元救助方案，每人总计可领2000美元。失业救济保险将从目前的每周300美元提高到400美元，且延长实施到9月。</w:t>
      </w:r>
    </w:p>
    <w:p w:rsidR="004F2BE7" w:rsidRDefault="004F2BE7" w:rsidP="004F2BE7">
      <w:pPr>
        <w:pStyle w:val="a4"/>
        <w:spacing w:before="156" w:after="156"/>
        <w:ind w:firstLine="480"/>
        <w:rPr>
          <w:lang w:eastAsia="zh-CN"/>
        </w:rPr>
      </w:pPr>
      <w:r>
        <w:rPr>
          <w:rFonts w:hint="eastAsia"/>
          <w:lang w:eastAsia="zh-CN"/>
        </w:rPr>
        <w:t>耶伦说，若成功当选财政部长，她将肩负双重使命。一是帮助美国度过疫情危机，在保证安全的同时帮助人们重返工作岗位。二是重建美国经济，为更多人创造更多繁荣，确保美国在竞争日益激烈的全球经济中保持竞争力。</w:t>
      </w:r>
    </w:p>
    <w:p w:rsidR="004F2BE7" w:rsidRDefault="004F2BE7" w:rsidP="004F2BE7">
      <w:pPr>
        <w:pStyle w:val="a4"/>
        <w:spacing w:before="156" w:after="156"/>
        <w:ind w:firstLine="480"/>
        <w:rPr>
          <w:lang w:eastAsia="zh-CN"/>
        </w:rPr>
      </w:pPr>
      <w:r>
        <w:rPr>
          <w:rFonts w:hint="eastAsia"/>
          <w:lang w:eastAsia="zh-CN"/>
        </w:rPr>
        <w:t>根据美国媒体援引知情人士的话报道，预计耶伦获得参议院批准的阻力较小。</w:t>
      </w:r>
      <w:r>
        <w:rPr>
          <w:lang w:eastAsia="zh-CN"/>
        </w:rPr>
        <w:t>19日，包括尼克松政府时期财长乔治·舒尔茨及奥巴马政府时期财长雅各布·卢在内的所有八位在世的</w:t>
      </w:r>
      <w:r>
        <w:rPr>
          <w:lang w:eastAsia="zh-CN"/>
        </w:rPr>
        <w:lastRenderedPageBreak/>
        <w:t>美国前财长联名对耶伦表示支持，敦促参议院迅速批准其提名。他们一致认为，耶伦的经验、学识、判断力和性格非常适合财长一职。</w:t>
      </w:r>
    </w:p>
    <w:p w:rsidR="004F2BE7" w:rsidRPr="004F2BE7" w:rsidRDefault="004F2BE7" w:rsidP="004F2BE7">
      <w:pPr>
        <w:pStyle w:val="a4"/>
        <w:spacing w:before="156" w:after="156"/>
        <w:ind w:firstLine="482"/>
        <w:rPr>
          <w:b/>
          <w:bCs/>
          <w:lang w:eastAsia="zh-CN"/>
        </w:rPr>
      </w:pPr>
      <w:r w:rsidRPr="004F2BE7">
        <w:rPr>
          <w:rFonts w:hint="eastAsia"/>
          <w:b/>
          <w:bCs/>
          <w:lang w:eastAsia="zh-CN"/>
        </w:rPr>
        <w:t>暗示有条件上调税率</w:t>
      </w:r>
    </w:p>
    <w:p w:rsidR="004F2BE7" w:rsidRDefault="004F2BE7" w:rsidP="004F2BE7">
      <w:pPr>
        <w:pStyle w:val="a4"/>
        <w:spacing w:before="156" w:after="156"/>
        <w:ind w:firstLine="480"/>
        <w:rPr>
          <w:lang w:eastAsia="zh-CN"/>
        </w:rPr>
      </w:pPr>
      <w:r>
        <w:rPr>
          <w:rFonts w:hint="eastAsia"/>
          <w:lang w:eastAsia="zh-CN"/>
        </w:rPr>
        <w:t>拜登日前曾表示将对美国一部分富人和企业增加税收，为国内经济建设筹措资金。耶伦表示，现在的重点是提供救济，帮助家庭维持温饱，而不是加税；对于拜登的支出计划，需要在更大的经济图景中考虑税收问题；这些支出计划都需要筹资，但应该以一种公平的方式来进行。</w:t>
      </w:r>
    </w:p>
    <w:p w:rsidR="004F2BE7" w:rsidRDefault="004F2BE7" w:rsidP="004F2BE7">
      <w:pPr>
        <w:pStyle w:val="a4"/>
        <w:spacing w:before="156" w:after="156"/>
        <w:ind w:firstLine="480"/>
        <w:rPr>
          <w:lang w:eastAsia="zh-CN"/>
        </w:rPr>
      </w:pPr>
      <w:r>
        <w:rPr>
          <w:rFonts w:hint="eastAsia"/>
          <w:lang w:eastAsia="zh-CN"/>
        </w:rPr>
        <w:t>耶伦表示，如果美国与全球其他经济体协调，美国可以承担更高的企业税率。“我们期待着通过与经合组织针对跨国公司税收进行谈判，与其他国家积极合作，来阻止破坏性的、全球范围内的企业税率比赛。我们将保证美国公司的竞争力，即使是在一定程度上提高公司税。”</w:t>
      </w:r>
    </w:p>
    <w:p w:rsidR="004F2BE7" w:rsidRDefault="004F2BE7" w:rsidP="004F2BE7">
      <w:pPr>
        <w:pStyle w:val="a4"/>
        <w:spacing w:before="156" w:after="156"/>
        <w:ind w:firstLine="480"/>
        <w:rPr>
          <w:lang w:eastAsia="zh-CN"/>
        </w:rPr>
      </w:pPr>
      <w:r>
        <w:rPr>
          <w:rFonts w:hint="eastAsia"/>
          <w:lang w:eastAsia="zh-CN"/>
        </w:rPr>
        <w:t>在总统竞选期间，拜登提议将美国企业税率从目前的</w:t>
      </w:r>
      <w:r>
        <w:rPr>
          <w:lang w:eastAsia="zh-CN"/>
        </w:rPr>
        <w:t>21%提高到28%。在2017年减税之前，美国的企业税率为35%。不过，耶伦指出，任何寻求提高企业税率的计划只有在政府认为美国已经克服了疫情危机后才会启动。</w:t>
      </w:r>
    </w:p>
    <w:p w:rsidR="004F2BE7" w:rsidRDefault="004F2BE7" w:rsidP="004F2BE7">
      <w:pPr>
        <w:pStyle w:val="a4"/>
        <w:spacing w:before="156" w:after="156"/>
        <w:ind w:firstLine="480"/>
        <w:rPr>
          <w:lang w:eastAsia="zh-CN"/>
        </w:rPr>
      </w:pPr>
      <w:r>
        <w:rPr>
          <w:rFonts w:hint="eastAsia"/>
          <w:lang w:eastAsia="zh-CN"/>
        </w:rPr>
        <w:t>耶伦表示：“拜登此前已经表态称，该计划不会在疫情危机还在压制经济时实施，他希望废除</w:t>
      </w:r>
      <w:r>
        <w:rPr>
          <w:lang w:eastAsia="zh-CN"/>
        </w:rPr>
        <w:t>2017年减税的部分内容，这些内容有利于美国最高收入者和大公司，他希望扭转法律对离岸业务和利润的激励，但是，拜登明确表示不支持完全废除2017年的新税法。”</w:t>
      </w:r>
    </w:p>
    <w:p w:rsidR="004F2BE7" w:rsidRDefault="004F2BE7" w:rsidP="004F2BE7">
      <w:pPr>
        <w:pStyle w:val="a4"/>
        <w:spacing w:before="156" w:after="156"/>
        <w:ind w:firstLine="480"/>
        <w:rPr>
          <w:lang w:eastAsia="zh-CN"/>
        </w:rPr>
      </w:pPr>
      <w:r>
        <w:rPr>
          <w:rFonts w:hint="eastAsia"/>
          <w:lang w:eastAsia="zh-CN"/>
        </w:rPr>
        <w:t>耶伦同时透露，拜登支持激励电动汽车行业发展。和市场预期一致的是，耶伦支持投资清洁技术和可再生能源，以及为电动汽车提供激励措施，称这将是保护环境和创造就业机会的优先事项。</w:t>
      </w:r>
    </w:p>
    <w:p w:rsidR="004F2BE7" w:rsidRDefault="004F2BE7" w:rsidP="004F2BE7">
      <w:pPr>
        <w:pStyle w:val="a4"/>
        <w:spacing w:before="156" w:after="156"/>
        <w:ind w:firstLine="480"/>
        <w:rPr>
          <w:lang w:eastAsia="zh-CN"/>
        </w:rPr>
      </w:pPr>
      <w:r>
        <w:rPr>
          <w:rFonts w:hint="eastAsia"/>
          <w:lang w:eastAsia="zh-CN"/>
        </w:rPr>
        <w:t>此外，耶伦认为，美元和其他货币的价值应该由市场来决定，美国不会刻意寻求美元贬值。据美国《华尔街日报》报道，上述立场意味美国新政府将放弃特朗普呼吁的弱势美元政策。美国洲际交易所提供的数据显示，美联储去年</w:t>
      </w:r>
      <w:r>
        <w:rPr>
          <w:lang w:eastAsia="zh-CN"/>
        </w:rPr>
        <w:t>3月降息以来，衡量美元对六种主要货币的美元指数下跌大约12%。</w:t>
      </w:r>
    </w:p>
    <w:p w:rsidR="004F2BE7" w:rsidRPr="004F2BE7" w:rsidRDefault="004F2BE7" w:rsidP="004F2BE7">
      <w:pPr>
        <w:pStyle w:val="a4"/>
        <w:spacing w:before="156" w:after="156"/>
        <w:ind w:firstLine="482"/>
        <w:rPr>
          <w:b/>
          <w:bCs/>
          <w:lang w:eastAsia="zh-CN"/>
        </w:rPr>
      </w:pPr>
      <w:r w:rsidRPr="004F2BE7">
        <w:rPr>
          <w:rFonts w:hint="eastAsia"/>
          <w:b/>
          <w:bCs/>
          <w:lang w:eastAsia="zh-CN"/>
        </w:rPr>
        <w:t>经济复苏步伐缓慢</w:t>
      </w:r>
    </w:p>
    <w:p w:rsidR="004F2BE7" w:rsidRDefault="004F2BE7" w:rsidP="004F2BE7">
      <w:pPr>
        <w:pStyle w:val="a4"/>
        <w:spacing w:before="156" w:after="156"/>
        <w:ind w:firstLine="480"/>
        <w:rPr>
          <w:lang w:eastAsia="zh-CN"/>
        </w:rPr>
      </w:pPr>
      <w:r>
        <w:rPr>
          <w:rFonts w:hint="eastAsia"/>
          <w:lang w:eastAsia="zh-CN"/>
        </w:rPr>
        <w:t>目前，美国疫情形势依旧严峻，经济复苏步伐缓慢。美国约翰斯·霍普金斯大学</w:t>
      </w:r>
      <w:r>
        <w:rPr>
          <w:lang w:eastAsia="zh-CN"/>
        </w:rPr>
        <w:t>19日发布的疫情数据显示，截至19日晚，美国新冠死亡病例累计超过40万例，达401361例，死亡病例从30万例增至40万例用时36天；累计确诊病例超2423万例。</w:t>
      </w:r>
    </w:p>
    <w:p w:rsidR="004F2BE7" w:rsidRDefault="004F2BE7" w:rsidP="004F2BE7">
      <w:pPr>
        <w:pStyle w:val="a4"/>
        <w:spacing w:before="156" w:after="156"/>
        <w:ind w:firstLine="480"/>
        <w:rPr>
          <w:lang w:eastAsia="zh-CN"/>
        </w:rPr>
      </w:pPr>
      <w:r>
        <w:rPr>
          <w:rFonts w:hint="eastAsia"/>
          <w:lang w:eastAsia="zh-CN"/>
        </w:rPr>
        <w:t>近期的经济数据也显示出美国经济复苏乏力。美国商务部日前公布的初步数据显示，</w:t>
      </w:r>
      <w:r>
        <w:rPr>
          <w:lang w:eastAsia="zh-CN"/>
        </w:rPr>
        <w:t>2020年12月份美国零售业和食品服务业销售金额为5409亿美元，环比下降0.7%，远不及市场预期。</w:t>
      </w:r>
      <w:r>
        <w:rPr>
          <w:lang w:eastAsia="zh-CN"/>
        </w:rPr>
        <w:lastRenderedPageBreak/>
        <w:t>芝加哥州立大学公布的初步数据显示，2021年1月份美国消费者信心指数为79.2，低于市场预期的80和前一个月的80.7。纽约联邦储备银行公布的数据显示，2021年1月份制造业经济指数为3.5，低于市场预期的6和前一个月的4.9。</w:t>
      </w:r>
    </w:p>
    <w:p w:rsidR="004F2BE7" w:rsidRDefault="004F2BE7" w:rsidP="004F2BE7">
      <w:pPr>
        <w:pStyle w:val="a4"/>
        <w:spacing w:before="156" w:after="156"/>
        <w:ind w:firstLine="480"/>
        <w:rPr>
          <w:lang w:eastAsia="zh-CN"/>
        </w:rPr>
      </w:pPr>
      <w:r>
        <w:rPr>
          <w:rFonts w:hint="eastAsia"/>
          <w:lang w:eastAsia="zh-CN"/>
        </w:rPr>
        <w:t>分析指出，美国经济形势不容乐观。就业环境疲软开始影响人们日常的消费需求，进而对实体经济造成影响。进入新年以来，疫情依然在恶化，短期看不到好转的迹象。虽然疫苗的分发推广有利于控制疫情，从而刺激企业支出和招聘，令劳动力市场出现反弹，但这种情况最早也要在下半年出现，在此之前，就业岗位将难以有效恢复。</w:t>
      </w:r>
    </w:p>
    <w:p w:rsidR="004F2BE7" w:rsidRPr="004F2BE7" w:rsidRDefault="004F2BE7" w:rsidP="004F2BE7">
      <w:pPr>
        <w:pStyle w:val="a4"/>
        <w:spacing w:before="156" w:after="156"/>
        <w:ind w:firstLine="480"/>
        <w:rPr>
          <w:lang w:eastAsia="zh-CN"/>
        </w:rPr>
      </w:pPr>
      <w:r>
        <w:rPr>
          <w:rFonts w:hint="eastAsia"/>
          <w:lang w:eastAsia="zh-CN"/>
        </w:rPr>
        <w:t>此外，据美国媒体报道，美国总统特朗普执政期间，美国国债增加了逾</w:t>
      </w:r>
      <w:r>
        <w:rPr>
          <w:lang w:eastAsia="zh-CN"/>
        </w:rPr>
        <w:t>7万亿美元，未来这一数字可能更高。2020财年，美国联邦预算赤字为3.1万亿美元。美国独立研究机构联邦预算问责委员会预测，2021财年美国联邦预算赤字为2.3万亿美元。</w:t>
      </w:r>
    </w:p>
    <w:p w:rsidR="00CA488F" w:rsidRDefault="00CA488F" w:rsidP="00CA488F">
      <w:pPr>
        <w:pStyle w:val="2"/>
        <w:spacing w:before="156" w:after="156"/>
      </w:pPr>
      <w:bookmarkStart w:id="35" w:name="_Toc62456448"/>
      <w:r w:rsidRPr="00CA488F">
        <w:rPr>
          <w:rFonts w:hint="eastAsia"/>
        </w:rPr>
        <w:t>日本央行下调</w:t>
      </w:r>
      <w:r w:rsidRPr="00CA488F">
        <w:t>2020</w:t>
      </w:r>
      <w:r w:rsidRPr="00CA488F">
        <w:t>财年经济增长预期至负</w:t>
      </w:r>
      <w:r w:rsidRPr="00CA488F">
        <w:t>5.6%</w:t>
      </w:r>
      <w:bookmarkEnd w:id="35"/>
    </w:p>
    <w:p w:rsidR="00CA488F" w:rsidRDefault="00CA488F" w:rsidP="00CA488F">
      <w:pPr>
        <w:pStyle w:val="a4"/>
        <w:spacing w:before="156" w:after="156"/>
        <w:ind w:firstLine="480"/>
        <w:rPr>
          <w:lang w:eastAsia="zh-CN"/>
        </w:rPr>
      </w:pPr>
      <w:r>
        <w:rPr>
          <w:rFonts w:hint="eastAsia"/>
          <w:lang w:eastAsia="zh-CN"/>
        </w:rPr>
        <w:t>日本央行</w:t>
      </w:r>
      <w:r>
        <w:rPr>
          <w:lang w:eastAsia="zh-CN"/>
        </w:rPr>
        <w:t>21日发布经济展望报告，下调2020财年（截至2021年3月）日本实际经济增长预期至负5.6%，同时将2021财年日本经济增长预期上调至3.9%。</w:t>
      </w:r>
    </w:p>
    <w:p w:rsidR="00CA488F" w:rsidRDefault="00CA488F" w:rsidP="00CA488F">
      <w:pPr>
        <w:pStyle w:val="a4"/>
        <w:spacing w:before="156" w:after="156"/>
        <w:ind w:firstLine="480"/>
        <w:rPr>
          <w:lang w:eastAsia="zh-CN"/>
        </w:rPr>
      </w:pPr>
      <w:r>
        <w:rPr>
          <w:rFonts w:hint="eastAsia"/>
          <w:lang w:eastAsia="zh-CN"/>
        </w:rPr>
        <w:t>报告同时上调了</w:t>
      </w:r>
      <w:r>
        <w:rPr>
          <w:lang w:eastAsia="zh-CN"/>
        </w:rPr>
        <w:t>2020财年的通胀预期，预计日本剔除生鲜食品的核心消费价格指数（CPI）同比下降0.5%，这比此前的预期调高了0.1个百分点。</w:t>
      </w:r>
    </w:p>
    <w:p w:rsidR="00CA488F" w:rsidRDefault="00CA488F" w:rsidP="00CA488F">
      <w:pPr>
        <w:pStyle w:val="a4"/>
        <w:spacing w:before="156" w:after="156"/>
        <w:ind w:firstLine="480"/>
        <w:rPr>
          <w:lang w:eastAsia="zh-CN"/>
        </w:rPr>
      </w:pPr>
      <w:r>
        <w:rPr>
          <w:rFonts w:hint="eastAsia"/>
          <w:lang w:eastAsia="zh-CN"/>
        </w:rPr>
        <w:t>报告说，受疫情蔓延、原油价格低迷、全国范围的旅游促销活动等因素影响，通胀率目前在负区间徘徊。随着经济的复苏，价格下行压力将减弱，</w:t>
      </w:r>
      <w:r>
        <w:rPr>
          <w:lang w:eastAsia="zh-CN"/>
        </w:rPr>
        <w:t>2021财年CPI有望上涨0.5%。</w:t>
      </w:r>
    </w:p>
    <w:p w:rsidR="00CA488F" w:rsidRDefault="00CA488F" w:rsidP="00CA488F">
      <w:pPr>
        <w:pStyle w:val="a4"/>
        <w:spacing w:before="156" w:after="156"/>
        <w:ind w:firstLine="480"/>
        <w:rPr>
          <w:lang w:eastAsia="zh-CN"/>
        </w:rPr>
      </w:pPr>
      <w:r>
        <w:rPr>
          <w:rFonts w:hint="eastAsia"/>
          <w:lang w:eastAsia="zh-CN"/>
        </w:rPr>
        <w:t>日本央行当天在结束为期两天的货币政策会议后宣布，继续保持目前的货币政策宽松力度，维持为应对新冠疫情而采取的各种宽松政策，支持企业融资，通过购买资产维护金融市场稳定。同时，继续将短期利率维持在负</w:t>
      </w:r>
      <w:r>
        <w:rPr>
          <w:lang w:eastAsia="zh-CN"/>
        </w:rPr>
        <w:t>0.1%的水平，并通过购买长期国债，使长期利率维持在零左右。</w:t>
      </w:r>
    </w:p>
    <w:p w:rsidR="00CA488F" w:rsidRPr="00CA488F" w:rsidRDefault="00CA488F" w:rsidP="00CA488F">
      <w:pPr>
        <w:pStyle w:val="a4"/>
        <w:spacing w:before="156" w:after="156"/>
        <w:ind w:firstLine="480"/>
        <w:rPr>
          <w:lang w:eastAsia="zh-CN"/>
        </w:rPr>
      </w:pPr>
      <w:r>
        <w:rPr>
          <w:rFonts w:hint="eastAsia"/>
          <w:lang w:eastAsia="zh-CN"/>
        </w:rPr>
        <w:t>日本央行行长黑田东彦在当天下午举行的记者会上表示，对超宽松货币政策长期持续的副作用及该政策能否顺利退出的忧虑始终存在，央行正重新检视当下的政策措施，探讨更有效率、更可持续的宽松政策，结果将于</w:t>
      </w:r>
      <w:r>
        <w:rPr>
          <w:lang w:eastAsia="zh-CN"/>
        </w:rPr>
        <w:t>3月份的货币政策会议公布。</w:t>
      </w:r>
    </w:p>
    <w:p w:rsidR="0078553C" w:rsidRDefault="0078553C" w:rsidP="0078553C">
      <w:pPr>
        <w:pStyle w:val="2"/>
        <w:spacing w:before="156" w:after="156"/>
      </w:pPr>
      <w:bookmarkStart w:id="36" w:name="_Toc62456449"/>
      <w:r w:rsidRPr="0078553C">
        <w:rPr>
          <w:rFonts w:hint="eastAsia"/>
        </w:rPr>
        <w:t>欧洲央行继续实施一揽子宽松货币政策</w:t>
      </w:r>
      <w:bookmarkEnd w:id="36"/>
    </w:p>
    <w:p w:rsidR="0078553C" w:rsidRDefault="0078553C" w:rsidP="0078553C">
      <w:pPr>
        <w:pStyle w:val="a4"/>
        <w:spacing w:before="156" w:after="156"/>
        <w:ind w:firstLine="480"/>
        <w:rPr>
          <w:lang w:eastAsia="zh-CN"/>
        </w:rPr>
      </w:pPr>
      <w:r>
        <w:rPr>
          <w:rFonts w:hint="eastAsia"/>
          <w:lang w:eastAsia="zh-CN"/>
        </w:rPr>
        <w:t>欧洲中央银行</w:t>
      </w:r>
      <w:r>
        <w:rPr>
          <w:lang w:eastAsia="zh-CN"/>
        </w:rPr>
        <w:t>21日召开货币政策会议，决定继续实施资产购买计划和定向长期再融资操作等一揽子宽松货币政策，以应对新冠疫情对欧元区经济造成的持续负面影响。</w:t>
      </w:r>
    </w:p>
    <w:p w:rsidR="0078553C" w:rsidRDefault="0078553C" w:rsidP="0078553C">
      <w:pPr>
        <w:pStyle w:val="a4"/>
        <w:spacing w:before="156" w:after="156"/>
        <w:ind w:firstLine="480"/>
        <w:rPr>
          <w:lang w:eastAsia="zh-CN"/>
        </w:rPr>
      </w:pPr>
      <w:r>
        <w:rPr>
          <w:rFonts w:hint="eastAsia"/>
          <w:lang w:eastAsia="zh-CN"/>
        </w:rPr>
        <w:t>根据欧洲央行公布的货币政策决议，总规模</w:t>
      </w:r>
      <w:r>
        <w:rPr>
          <w:lang w:eastAsia="zh-CN"/>
        </w:rPr>
        <w:t>1.85万亿欧元的紧急资产购买计划将至少持续</w:t>
      </w:r>
      <w:r>
        <w:rPr>
          <w:lang w:eastAsia="zh-CN"/>
        </w:rPr>
        <w:lastRenderedPageBreak/>
        <w:t>到2022年3月，直至欧洲央行评估认定新冠危机结束。同时，每月200亿欧元的常规购债计划将持续足够长时间，预计在未来首次加息前结束。</w:t>
      </w:r>
    </w:p>
    <w:p w:rsidR="0078553C" w:rsidRDefault="0078553C" w:rsidP="0078553C">
      <w:pPr>
        <w:pStyle w:val="a4"/>
        <w:spacing w:before="156" w:after="156"/>
        <w:ind w:firstLine="480"/>
        <w:rPr>
          <w:lang w:eastAsia="zh-CN"/>
        </w:rPr>
      </w:pPr>
      <w:r>
        <w:rPr>
          <w:rFonts w:hint="eastAsia"/>
          <w:lang w:eastAsia="zh-CN"/>
        </w:rPr>
        <w:t>欧洲央行强调，在欧元区有利融资条件得到保证的前提下，紧急资产购买计划不需全额动用。若融资条件恶化，欧洲央行将在必要时再次调整紧急购债规模。</w:t>
      </w:r>
    </w:p>
    <w:p w:rsidR="0078553C" w:rsidRDefault="0078553C" w:rsidP="0078553C">
      <w:pPr>
        <w:pStyle w:val="a4"/>
        <w:spacing w:before="156" w:after="156"/>
        <w:ind w:firstLine="480"/>
        <w:rPr>
          <w:lang w:eastAsia="zh-CN"/>
        </w:rPr>
      </w:pPr>
      <w:r>
        <w:rPr>
          <w:rFonts w:hint="eastAsia"/>
          <w:lang w:eastAsia="zh-CN"/>
        </w:rPr>
        <w:t>欧洲央行行长拉加德表示，欧元区开始新冠疫苗接种是应对当前健康危机的一个重要里程碑，但疫情仍对公共卫生和欧元区乃至世界经济构成严重威胁。</w:t>
      </w:r>
    </w:p>
    <w:p w:rsidR="0078553C" w:rsidRDefault="0078553C" w:rsidP="0078553C">
      <w:pPr>
        <w:pStyle w:val="a4"/>
        <w:spacing w:before="156" w:after="156"/>
        <w:ind w:firstLine="480"/>
        <w:rPr>
          <w:lang w:eastAsia="zh-CN"/>
        </w:rPr>
      </w:pPr>
      <w:r>
        <w:rPr>
          <w:rFonts w:hint="eastAsia"/>
          <w:lang w:eastAsia="zh-CN"/>
        </w:rPr>
        <w:t>拉加德说，欧元区新冠病例数再度激增和许多国家采取或延长限制措施，导致经济活动中断，特别是服务业活动受到严重抑制。</w:t>
      </w:r>
    </w:p>
    <w:p w:rsidR="0078553C" w:rsidRDefault="0078553C" w:rsidP="0078553C">
      <w:pPr>
        <w:pStyle w:val="a4"/>
        <w:spacing w:before="156" w:after="156"/>
        <w:ind w:firstLine="480"/>
        <w:rPr>
          <w:lang w:eastAsia="zh-CN"/>
        </w:rPr>
      </w:pPr>
      <w:r>
        <w:rPr>
          <w:rFonts w:hint="eastAsia"/>
          <w:lang w:eastAsia="zh-CN"/>
        </w:rPr>
        <w:t>她还说，由于需求疲软、劳动力市场不振，欧元区通胀水平低迷且预计持续较长时间。</w:t>
      </w:r>
    </w:p>
    <w:p w:rsidR="0078553C" w:rsidRDefault="0078553C" w:rsidP="0078553C">
      <w:pPr>
        <w:pStyle w:val="a4"/>
        <w:spacing w:before="156" w:after="156"/>
        <w:ind w:firstLine="480"/>
        <w:rPr>
          <w:lang w:eastAsia="zh-CN"/>
        </w:rPr>
      </w:pPr>
      <w:r>
        <w:rPr>
          <w:rFonts w:hint="eastAsia"/>
          <w:lang w:eastAsia="zh-CN"/>
        </w:rPr>
        <w:t>欧洲央行将欧元区中期通胀目标设定为低于但接近</w:t>
      </w:r>
      <w:r>
        <w:rPr>
          <w:lang w:eastAsia="zh-CN"/>
        </w:rPr>
        <w:t>2%。2020年12月，欧元区通胀率为负0.3%，连续5个月处于负值。</w:t>
      </w:r>
    </w:p>
    <w:p w:rsidR="00425B93" w:rsidRDefault="00224097" w:rsidP="008659C3">
      <w:pPr>
        <w:pStyle w:val="2"/>
        <w:spacing w:before="156" w:after="156"/>
      </w:pPr>
      <w:bookmarkStart w:id="37" w:name="_Toc62456450"/>
      <w:r w:rsidRPr="00224097">
        <w:rPr>
          <w:rFonts w:hint="eastAsia"/>
        </w:rPr>
        <w:t>拉加经委会估计</w:t>
      </w:r>
      <w:r w:rsidRPr="00224097">
        <w:t>2020</w:t>
      </w:r>
      <w:r w:rsidRPr="00224097">
        <w:t>年该地区对华出口额增长</w:t>
      </w:r>
      <w:r w:rsidRPr="00224097">
        <w:t>2%</w:t>
      </w:r>
      <w:bookmarkEnd w:id="37"/>
    </w:p>
    <w:p w:rsidR="00224097" w:rsidRDefault="00224097" w:rsidP="00224097">
      <w:pPr>
        <w:pStyle w:val="a4"/>
        <w:spacing w:before="156" w:after="156"/>
        <w:ind w:firstLine="480"/>
        <w:rPr>
          <w:lang w:eastAsia="zh-CN"/>
        </w:rPr>
      </w:pPr>
      <w:r>
        <w:rPr>
          <w:rFonts w:hint="eastAsia"/>
          <w:lang w:eastAsia="zh-CN"/>
        </w:rPr>
        <w:t>联合国拉丁美洲和加勒比经济委员会（拉加经委会）</w:t>
      </w:r>
      <w:r>
        <w:rPr>
          <w:lang w:eastAsia="zh-CN"/>
        </w:rPr>
        <w:t>22日发布该地区2020年外贸情况初步报告，估计该地区2020年对华出口额逆势增长2%。</w:t>
      </w:r>
    </w:p>
    <w:p w:rsidR="00224097" w:rsidRDefault="00224097" w:rsidP="00224097">
      <w:pPr>
        <w:pStyle w:val="a4"/>
        <w:spacing w:before="156" w:after="156"/>
        <w:ind w:firstLine="480"/>
        <w:rPr>
          <w:lang w:eastAsia="zh-CN"/>
        </w:rPr>
      </w:pPr>
      <w:r>
        <w:rPr>
          <w:rFonts w:hint="eastAsia"/>
          <w:lang w:eastAsia="zh-CN"/>
        </w:rPr>
        <w:t>报告说，</w:t>
      </w:r>
      <w:r>
        <w:rPr>
          <w:lang w:eastAsia="zh-CN"/>
        </w:rPr>
        <w:t>2020年新冠疫情快速蔓延和各国政府采取的防疫措施严重打击国际经贸活动，初步估计拉美和加勒比地区2020年出口下降13%，进口下降20%，为国际金融危机以来最差表现。</w:t>
      </w:r>
    </w:p>
    <w:p w:rsidR="00224097" w:rsidRDefault="00224097" w:rsidP="00224097">
      <w:pPr>
        <w:pStyle w:val="a4"/>
        <w:spacing w:before="156" w:after="156"/>
        <w:ind w:firstLine="480"/>
        <w:rPr>
          <w:lang w:eastAsia="zh-CN"/>
        </w:rPr>
      </w:pPr>
      <w:r>
        <w:rPr>
          <w:rFonts w:hint="eastAsia"/>
          <w:lang w:eastAsia="zh-CN"/>
        </w:rPr>
        <w:t>报告估计，</w:t>
      </w:r>
      <w:r>
        <w:rPr>
          <w:lang w:eastAsia="zh-CN"/>
        </w:rPr>
        <w:t>2020年拉美和加勒比地区内部出口下降24%，对美国和欧盟出口分别下降14%和13%；在农产品、矿产品和金属带动下，该地区对华出口增长2%。</w:t>
      </w:r>
    </w:p>
    <w:p w:rsidR="00224097" w:rsidRDefault="00224097" w:rsidP="00224097">
      <w:pPr>
        <w:pStyle w:val="a4"/>
        <w:spacing w:before="156" w:after="156"/>
        <w:ind w:firstLine="480"/>
        <w:rPr>
          <w:lang w:eastAsia="zh-CN"/>
        </w:rPr>
      </w:pPr>
      <w:r>
        <w:rPr>
          <w:rFonts w:hint="eastAsia"/>
          <w:lang w:eastAsia="zh-CN"/>
        </w:rPr>
        <w:t>报告说，由于中国快速控制疫情并推动经济恢复，</w:t>
      </w:r>
      <w:r>
        <w:rPr>
          <w:lang w:eastAsia="zh-CN"/>
        </w:rPr>
        <w:t>2020年3月以后拉美和加勒比地区对华出口持续增长。</w:t>
      </w:r>
    </w:p>
    <w:p w:rsidR="00224097" w:rsidRPr="00224097" w:rsidRDefault="00224097" w:rsidP="00224097">
      <w:pPr>
        <w:pStyle w:val="a4"/>
        <w:spacing w:before="156" w:after="156"/>
        <w:ind w:firstLine="480"/>
        <w:rPr>
          <w:lang w:eastAsia="zh-CN"/>
        </w:rPr>
      </w:pPr>
      <w:r>
        <w:rPr>
          <w:rFonts w:hint="eastAsia"/>
          <w:lang w:eastAsia="zh-CN"/>
        </w:rPr>
        <w:t>拉加经委会此前预计，拉美和加勒比地区经济</w:t>
      </w:r>
      <w:r>
        <w:rPr>
          <w:lang w:eastAsia="zh-CN"/>
        </w:rPr>
        <w:t>2020年萎缩7.7%，2021年增长3.7%。</w:t>
      </w:r>
    </w:p>
    <w:p w:rsidR="00425B93" w:rsidRDefault="008659C3">
      <w:pPr>
        <w:pStyle w:val="1"/>
        <w:spacing w:before="156" w:after="156"/>
      </w:pPr>
      <w:bookmarkStart w:id="38" w:name="_Toc62456451"/>
      <w:r>
        <w:rPr>
          <w:rFonts w:hint="eastAsia"/>
        </w:rPr>
        <w:t>【中国经济简讯】</w:t>
      </w:r>
      <w:bookmarkEnd w:id="38"/>
    </w:p>
    <w:p w:rsidR="00425B93" w:rsidRDefault="008659C3">
      <w:pPr>
        <w:pStyle w:val="a4"/>
        <w:spacing w:before="156" w:after="156"/>
        <w:ind w:firstLine="482"/>
        <w:rPr>
          <w:b/>
          <w:bCs/>
          <w:lang w:eastAsia="zh-CN"/>
        </w:rPr>
      </w:pPr>
      <w:r>
        <w:rPr>
          <w:rFonts w:hint="eastAsia"/>
          <w:b/>
          <w:bCs/>
          <w:lang w:eastAsia="zh-CN"/>
        </w:rPr>
        <w:t>1月</w:t>
      </w:r>
      <w:r w:rsidR="00691224">
        <w:rPr>
          <w:b/>
          <w:bCs/>
          <w:lang w:eastAsia="zh-CN"/>
        </w:rPr>
        <w:t>18</w:t>
      </w:r>
      <w:r>
        <w:rPr>
          <w:rFonts w:hint="eastAsia"/>
          <w:b/>
          <w:bCs/>
          <w:lang w:eastAsia="zh-CN"/>
        </w:rPr>
        <w:t>日</w:t>
      </w:r>
    </w:p>
    <w:p w:rsidR="00691224" w:rsidRDefault="00691224" w:rsidP="00691224">
      <w:pPr>
        <w:pStyle w:val="a4"/>
        <w:spacing w:before="156" w:after="156"/>
        <w:ind w:firstLine="480"/>
        <w:rPr>
          <w:rFonts w:cs="宋体"/>
          <w:color w:val="000000"/>
          <w:lang w:eastAsia="zh-CN"/>
        </w:rPr>
      </w:pPr>
      <w:r>
        <w:rPr>
          <w:rFonts w:hint="eastAsia"/>
          <w:highlight w:val="lightGray"/>
          <w:lang w:eastAsia="zh-CN"/>
        </w:rPr>
        <w:t>国资</w:t>
      </w:r>
      <w:r w:rsidRPr="00691224">
        <w:rPr>
          <w:rFonts w:hint="eastAsia"/>
          <w:highlight w:val="lightGray"/>
          <w:lang w:eastAsia="zh-CN"/>
        </w:rPr>
        <w:t>委</w:t>
      </w:r>
      <w:r>
        <w:rPr>
          <w:rFonts w:cs="宋体" w:hint="eastAsia"/>
          <w:color w:val="000000"/>
          <w:lang w:eastAsia="zh-CN"/>
        </w:rPr>
        <w:t>：</w:t>
      </w:r>
      <w:r w:rsidRPr="00691224">
        <w:rPr>
          <w:rFonts w:cs="宋体" w:hint="eastAsia"/>
          <w:color w:val="000000"/>
          <w:lang w:eastAsia="zh-CN"/>
        </w:rPr>
        <w:t>要推动央企优化国有资本布局结构，进一步加大科技创新投入</w:t>
      </w:r>
      <w:r>
        <w:rPr>
          <w:rFonts w:cs="宋体"/>
          <w:color w:val="000000"/>
          <w:lang w:eastAsia="zh-CN"/>
        </w:rPr>
        <w:t>。</w:t>
      </w:r>
    </w:p>
    <w:p w:rsidR="009D4DDF" w:rsidRDefault="009D4DDF" w:rsidP="009D4DDF">
      <w:pPr>
        <w:pStyle w:val="a4"/>
        <w:spacing w:before="156" w:after="156"/>
        <w:ind w:firstLine="480"/>
        <w:rPr>
          <w:rFonts w:cs="宋体"/>
          <w:color w:val="000000"/>
          <w:lang w:eastAsia="zh-CN"/>
        </w:rPr>
      </w:pPr>
      <w:r w:rsidRPr="009D4DDF">
        <w:rPr>
          <w:rFonts w:hint="eastAsia"/>
          <w:highlight w:val="lightGray"/>
          <w:lang w:eastAsia="zh-CN"/>
        </w:rPr>
        <w:t>发改委</w:t>
      </w:r>
      <w:r>
        <w:rPr>
          <w:rFonts w:cs="宋体" w:hint="eastAsia"/>
          <w:color w:val="000000"/>
          <w:lang w:eastAsia="zh-CN"/>
        </w:rPr>
        <w:t>：</w:t>
      </w:r>
      <w:r w:rsidRPr="009D4DDF">
        <w:rPr>
          <w:rFonts w:cs="宋体" w:hint="eastAsia"/>
          <w:color w:val="000000"/>
          <w:lang w:eastAsia="zh-CN"/>
        </w:rPr>
        <w:t>建立全国基础设施领域不动产投资信托基金</w:t>
      </w:r>
      <w:r>
        <w:rPr>
          <w:rFonts w:cs="宋体"/>
          <w:color w:val="000000"/>
          <w:lang w:eastAsia="zh-CN"/>
        </w:rPr>
        <w:t>。</w:t>
      </w:r>
    </w:p>
    <w:p w:rsidR="009D4DDF" w:rsidRDefault="009D4DDF" w:rsidP="009D4DDF">
      <w:pPr>
        <w:pStyle w:val="a4"/>
        <w:spacing w:before="156" w:after="156"/>
        <w:ind w:firstLine="480"/>
        <w:rPr>
          <w:lang w:eastAsia="zh-CN"/>
        </w:rPr>
      </w:pPr>
      <w:r>
        <w:rPr>
          <w:rFonts w:hint="eastAsia"/>
          <w:highlight w:val="lightGray"/>
          <w:lang w:eastAsia="zh-CN"/>
        </w:rPr>
        <w:t>人社</w:t>
      </w:r>
      <w:r w:rsidRPr="009D4DDF">
        <w:rPr>
          <w:rFonts w:hint="eastAsia"/>
          <w:highlight w:val="lightGray"/>
          <w:lang w:eastAsia="zh-CN"/>
        </w:rPr>
        <w:t>部</w:t>
      </w:r>
      <w:r>
        <w:rPr>
          <w:rFonts w:hint="eastAsia"/>
          <w:lang w:eastAsia="zh-CN"/>
        </w:rPr>
        <w:t>：</w:t>
      </w:r>
      <w:r>
        <w:rPr>
          <w:lang w:eastAsia="zh-CN"/>
        </w:rPr>
        <w:t>2021年年底前，我国将实现社保卡申领、启用、补换、临时挂失等服务事项的跨</w:t>
      </w:r>
      <w:r>
        <w:rPr>
          <w:rFonts w:hint="eastAsia"/>
          <w:lang w:eastAsia="zh-CN"/>
        </w:rPr>
        <w:lastRenderedPageBreak/>
        <w:t>省通办。</w:t>
      </w:r>
    </w:p>
    <w:p w:rsidR="009D4DDF" w:rsidRDefault="009D4DDF" w:rsidP="009D4DDF">
      <w:pPr>
        <w:pStyle w:val="a4"/>
        <w:spacing w:before="156" w:after="156"/>
        <w:ind w:firstLine="480"/>
        <w:rPr>
          <w:lang w:eastAsia="zh-CN"/>
        </w:rPr>
      </w:pPr>
      <w:r>
        <w:rPr>
          <w:rFonts w:hint="eastAsia"/>
          <w:highlight w:val="lightGray"/>
          <w:lang w:eastAsia="zh-CN"/>
        </w:rPr>
        <w:t>统计</w:t>
      </w:r>
      <w:r w:rsidRPr="009D4DDF">
        <w:rPr>
          <w:rFonts w:hint="eastAsia"/>
          <w:highlight w:val="lightGray"/>
          <w:lang w:eastAsia="zh-CN"/>
        </w:rPr>
        <w:t>局</w:t>
      </w:r>
      <w:r>
        <w:rPr>
          <w:rFonts w:hint="eastAsia"/>
          <w:lang w:eastAsia="zh-CN"/>
        </w:rPr>
        <w:t>：</w:t>
      </w:r>
      <w:r w:rsidRPr="009D4DDF">
        <w:rPr>
          <w:lang w:eastAsia="zh-CN"/>
        </w:rPr>
        <w:t>2020年12月份70个大中城市房地产市场价格稳中略涨</w:t>
      </w:r>
      <w:r>
        <w:rPr>
          <w:rFonts w:hint="eastAsia"/>
          <w:lang w:eastAsia="zh-CN"/>
        </w:rPr>
        <w:t>。</w:t>
      </w:r>
    </w:p>
    <w:p w:rsidR="009D4DDF" w:rsidRDefault="009D4DDF" w:rsidP="009D4DDF">
      <w:pPr>
        <w:pStyle w:val="a4"/>
        <w:spacing w:before="156" w:after="156"/>
        <w:ind w:firstLine="480"/>
        <w:rPr>
          <w:lang w:eastAsia="zh-CN"/>
        </w:rPr>
      </w:pPr>
      <w:r w:rsidRPr="009D4DDF">
        <w:rPr>
          <w:rFonts w:hint="eastAsia"/>
          <w:highlight w:val="lightGray"/>
          <w:lang w:eastAsia="zh-CN"/>
        </w:rPr>
        <w:t>工信部</w:t>
      </w:r>
      <w:r>
        <w:rPr>
          <w:rFonts w:cs="宋体"/>
          <w:color w:val="000000"/>
          <w:lang w:eastAsia="zh-CN"/>
        </w:rPr>
        <w:t>：</w:t>
      </w:r>
      <w:r w:rsidRPr="009D4DDF">
        <w:rPr>
          <w:rFonts w:cs="宋体" w:hint="eastAsia"/>
          <w:color w:val="000000"/>
          <w:lang w:eastAsia="zh-CN"/>
        </w:rPr>
        <w:t>在四方面狠下功夫，加快推进制造强国和网络强国建设步伐</w:t>
      </w:r>
      <w:r>
        <w:rPr>
          <w:rFonts w:cs="宋体"/>
          <w:color w:val="000000"/>
          <w:lang w:eastAsia="zh-CN"/>
        </w:rPr>
        <w:t>。</w:t>
      </w:r>
    </w:p>
    <w:p w:rsidR="00425B93" w:rsidRDefault="008659C3">
      <w:pPr>
        <w:pStyle w:val="a4"/>
        <w:spacing w:before="156" w:after="156"/>
        <w:ind w:firstLine="482"/>
        <w:rPr>
          <w:b/>
          <w:bCs/>
          <w:lang w:eastAsia="zh-CN"/>
        </w:rPr>
      </w:pPr>
      <w:r>
        <w:rPr>
          <w:rFonts w:hint="eastAsia"/>
          <w:b/>
          <w:bCs/>
          <w:lang w:eastAsia="zh-CN"/>
        </w:rPr>
        <w:t>1月</w:t>
      </w:r>
      <w:r w:rsidR="00A01B02">
        <w:rPr>
          <w:b/>
          <w:bCs/>
          <w:lang w:eastAsia="zh-CN"/>
        </w:rPr>
        <w:t>19</w:t>
      </w:r>
      <w:r>
        <w:rPr>
          <w:rFonts w:hint="eastAsia"/>
          <w:b/>
          <w:bCs/>
          <w:lang w:eastAsia="zh-CN"/>
        </w:rPr>
        <w:t>日</w:t>
      </w:r>
    </w:p>
    <w:p w:rsidR="00A01B02" w:rsidRDefault="00A01B02" w:rsidP="00A01B02">
      <w:pPr>
        <w:pStyle w:val="a4"/>
        <w:spacing w:before="156" w:after="156"/>
        <w:ind w:firstLine="480"/>
        <w:rPr>
          <w:rFonts w:cs="宋体"/>
          <w:color w:val="000000"/>
          <w:lang w:eastAsia="zh-CN"/>
        </w:rPr>
      </w:pPr>
      <w:r>
        <w:rPr>
          <w:rFonts w:hint="eastAsia"/>
          <w:highlight w:val="lightGray"/>
          <w:lang w:eastAsia="zh-CN"/>
        </w:rPr>
        <w:t>国资</w:t>
      </w:r>
      <w:r w:rsidRPr="00A01B02">
        <w:rPr>
          <w:rFonts w:hint="eastAsia"/>
          <w:highlight w:val="lightGray"/>
          <w:lang w:eastAsia="zh-CN"/>
        </w:rPr>
        <w:t>委</w:t>
      </w:r>
      <w:r>
        <w:rPr>
          <w:rFonts w:cs="宋体" w:hint="eastAsia"/>
          <w:color w:val="000000"/>
          <w:lang w:eastAsia="zh-CN"/>
        </w:rPr>
        <w:t>：</w:t>
      </w:r>
      <w:r w:rsidRPr="00A01B02">
        <w:rPr>
          <w:rFonts w:cs="宋体" w:hint="eastAsia"/>
          <w:color w:val="000000"/>
          <w:lang w:eastAsia="zh-CN"/>
        </w:rPr>
        <w:t>将青岛、西安、武汉、杭州等地纳入综合改革试验范围</w:t>
      </w:r>
      <w:r>
        <w:rPr>
          <w:rFonts w:cs="宋体"/>
          <w:color w:val="000000"/>
          <w:lang w:eastAsia="zh-CN"/>
        </w:rPr>
        <w:t>。</w:t>
      </w:r>
    </w:p>
    <w:p w:rsidR="00A01B02" w:rsidRDefault="00A01B02" w:rsidP="00A01B02">
      <w:pPr>
        <w:pStyle w:val="a4"/>
        <w:spacing w:before="156" w:after="156"/>
        <w:ind w:firstLine="480"/>
        <w:rPr>
          <w:lang w:eastAsia="zh-CN"/>
        </w:rPr>
      </w:pPr>
      <w:r>
        <w:rPr>
          <w:rFonts w:hint="eastAsia"/>
          <w:highlight w:val="lightGray"/>
          <w:lang w:eastAsia="zh-CN"/>
        </w:rPr>
        <w:t>住建</w:t>
      </w:r>
      <w:r w:rsidRPr="00A01B02">
        <w:rPr>
          <w:rFonts w:hint="eastAsia"/>
          <w:highlight w:val="lightGray"/>
          <w:lang w:eastAsia="zh-CN"/>
        </w:rPr>
        <w:t>部</w:t>
      </w:r>
      <w:r>
        <w:rPr>
          <w:rFonts w:hint="eastAsia"/>
          <w:highlight w:val="lightGray"/>
          <w:lang w:eastAsia="zh-CN"/>
        </w:rPr>
        <w:t>等1</w:t>
      </w:r>
      <w:r>
        <w:rPr>
          <w:highlight w:val="lightGray"/>
          <w:lang w:eastAsia="zh-CN"/>
        </w:rPr>
        <w:t>2</w:t>
      </w:r>
      <w:r>
        <w:rPr>
          <w:rFonts w:hint="eastAsia"/>
          <w:highlight w:val="lightGray"/>
          <w:lang w:eastAsia="zh-CN"/>
        </w:rPr>
        <w:t>部门</w:t>
      </w:r>
      <w:r>
        <w:rPr>
          <w:rFonts w:cs="宋体"/>
          <w:color w:val="000000"/>
          <w:lang w:eastAsia="zh-CN"/>
        </w:rPr>
        <w:t>：</w:t>
      </w:r>
      <w:r w:rsidRPr="00A01B02">
        <w:rPr>
          <w:rFonts w:cs="宋体"/>
          <w:color w:val="000000"/>
          <w:lang w:eastAsia="zh-CN"/>
        </w:rPr>
        <w:t>2025年我国中级工以上建筑工人培育目标达1000万人以上</w:t>
      </w:r>
      <w:r>
        <w:rPr>
          <w:rFonts w:cs="宋体"/>
          <w:color w:val="000000"/>
          <w:lang w:eastAsia="zh-CN"/>
        </w:rPr>
        <w:t>。</w:t>
      </w:r>
    </w:p>
    <w:p w:rsidR="00A01B02" w:rsidRDefault="00A01B02" w:rsidP="00A01B02">
      <w:pPr>
        <w:pStyle w:val="a4"/>
        <w:spacing w:before="156" w:after="156"/>
        <w:ind w:firstLine="480"/>
        <w:rPr>
          <w:lang w:eastAsia="zh-CN"/>
        </w:rPr>
      </w:pPr>
      <w:r>
        <w:rPr>
          <w:rFonts w:hint="eastAsia"/>
          <w:highlight w:val="lightGray"/>
          <w:lang w:eastAsia="zh-CN"/>
        </w:rPr>
        <w:t>民政</w:t>
      </w:r>
      <w:r w:rsidRPr="00A01B02">
        <w:rPr>
          <w:rFonts w:hint="eastAsia"/>
          <w:highlight w:val="lightGray"/>
          <w:lang w:eastAsia="zh-CN"/>
        </w:rPr>
        <w:t>部</w:t>
      </w:r>
      <w:r>
        <w:rPr>
          <w:rFonts w:hint="eastAsia"/>
          <w:highlight w:val="lightGray"/>
          <w:lang w:eastAsia="zh-CN"/>
        </w:rPr>
        <w:t>等七部门</w:t>
      </w:r>
      <w:r>
        <w:rPr>
          <w:rFonts w:cs="宋体"/>
          <w:color w:val="000000"/>
          <w:lang w:eastAsia="zh-CN"/>
        </w:rPr>
        <w:t>：</w:t>
      </w:r>
      <w:r w:rsidRPr="00A01B02">
        <w:rPr>
          <w:rFonts w:cs="宋体" w:hint="eastAsia"/>
          <w:color w:val="000000"/>
          <w:lang w:eastAsia="zh-CN"/>
        </w:rPr>
        <w:t>将康复辅助器具产业打造成助力经济转型升级的先导产业</w:t>
      </w:r>
      <w:r>
        <w:rPr>
          <w:rFonts w:cs="宋体"/>
          <w:color w:val="000000"/>
          <w:lang w:eastAsia="zh-CN"/>
        </w:rPr>
        <w:t>。</w:t>
      </w:r>
    </w:p>
    <w:p w:rsidR="00A01B02" w:rsidRDefault="00A01B02" w:rsidP="00A01B02">
      <w:pPr>
        <w:pStyle w:val="a4"/>
        <w:spacing w:before="156" w:after="156"/>
        <w:ind w:firstLine="480"/>
        <w:rPr>
          <w:lang w:eastAsia="zh-CN"/>
        </w:rPr>
      </w:pPr>
      <w:r>
        <w:rPr>
          <w:rFonts w:hint="eastAsia"/>
          <w:highlight w:val="lightGray"/>
          <w:lang w:eastAsia="zh-CN"/>
        </w:rPr>
        <w:t>统计</w:t>
      </w:r>
      <w:r w:rsidRPr="009D4DDF">
        <w:rPr>
          <w:rFonts w:hint="eastAsia"/>
          <w:highlight w:val="lightGray"/>
          <w:lang w:eastAsia="zh-CN"/>
        </w:rPr>
        <w:t>局</w:t>
      </w:r>
      <w:r>
        <w:rPr>
          <w:rFonts w:hint="eastAsia"/>
          <w:lang w:eastAsia="zh-CN"/>
        </w:rPr>
        <w:t>：</w:t>
      </w:r>
      <w:r w:rsidRPr="00A01B02">
        <w:rPr>
          <w:lang w:eastAsia="zh-CN"/>
        </w:rPr>
        <w:t>2020年全国居民人均可支配收入32189元，比上年实际增长2.1%</w:t>
      </w:r>
      <w:r>
        <w:rPr>
          <w:rFonts w:hint="eastAsia"/>
          <w:lang w:eastAsia="zh-CN"/>
        </w:rPr>
        <w:t>。</w:t>
      </w:r>
    </w:p>
    <w:p w:rsidR="00A01B02" w:rsidRDefault="00A01B02" w:rsidP="00A01B02">
      <w:pPr>
        <w:pStyle w:val="a4"/>
        <w:spacing w:before="156" w:after="156"/>
        <w:ind w:firstLine="480"/>
        <w:rPr>
          <w:rFonts w:cs="宋体"/>
          <w:color w:val="000000"/>
          <w:lang w:eastAsia="zh-CN"/>
        </w:rPr>
      </w:pPr>
      <w:r w:rsidRPr="00A01B02">
        <w:rPr>
          <w:rFonts w:hint="eastAsia"/>
          <w:highlight w:val="lightGray"/>
          <w:lang w:eastAsia="zh-CN"/>
        </w:rPr>
        <w:t>央行</w:t>
      </w:r>
      <w:r>
        <w:rPr>
          <w:rFonts w:cs="宋体" w:hint="eastAsia"/>
          <w:color w:val="000000"/>
          <w:lang w:eastAsia="zh-CN"/>
        </w:rPr>
        <w:t>：</w:t>
      </w:r>
      <w:r w:rsidRPr="00A01B02">
        <w:rPr>
          <w:rFonts w:cs="宋体"/>
          <w:color w:val="000000"/>
          <w:lang w:eastAsia="zh-CN"/>
        </w:rPr>
        <w:t>2020年12月末央行外汇占款余额211308.10亿元人民币，环比减少328.7亿元</w:t>
      </w:r>
      <w:r>
        <w:rPr>
          <w:rFonts w:cs="宋体"/>
          <w:color w:val="000000"/>
          <w:lang w:eastAsia="zh-CN"/>
        </w:rPr>
        <w:t>。</w:t>
      </w:r>
    </w:p>
    <w:p w:rsidR="00425B93" w:rsidRDefault="008659C3">
      <w:pPr>
        <w:pStyle w:val="a4"/>
        <w:tabs>
          <w:tab w:val="left" w:pos="2657"/>
        </w:tabs>
        <w:spacing w:before="156" w:after="156"/>
        <w:ind w:firstLine="482"/>
        <w:rPr>
          <w:b/>
          <w:bCs/>
          <w:lang w:eastAsia="zh-CN"/>
        </w:rPr>
      </w:pPr>
      <w:r>
        <w:rPr>
          <w:rFonts w:hint="eastAsia"/>
          <w:b/>
          <w:bCs/>
          <w:lang w:eastAsia="zh-CN"/>
        </w:rPr>
        <w:t>1月</w:t>
      </w:r>
      <w:r w:rsidR="00A01B02">
        <w:rPr>
          <w:b/>
          <w:bCs/>
          <w:lang w:eastAsia="zh-CN"/>
        </w:rPr>
        <w:t>20</w:t>
      </w:r>
      <w:r>
        <w:rPr>
          <w:rFonts w:hint="eastAsia"/>
          <w:b/>
          <w:bCs/>
          <w:lang w:eastAsia="zh-CN"/>
        </w:rPr>
        <w:t>日</w:t>
      </w:r>
    </w:p>
    <w:p w:rsidR="00A01B02" w:rsidRDefault="00A01B02" w:rsidP="00A01B02">
      <w:pPr>
        <w:pStyle w:val="a4"/>
        <w:spacing w:before="156" w:after="156"/>
        <w:ind w:firstLine="480"/>
        <w:rPr>
          <w:rFonts w:cs="宋体"/>
          <w:color w:val="000000"/>
          <w:lang w:eastAsia="zh-CN"/>
        </w:rPr>
      </w:pPr>
      <w:r w:rsidRPr="00A01B02">
        <w:rPr>
          <w:rFonts w:hint="eastAsia"/>
          <w:highlight w:val="lightGray"/>
          <w:lang w:eastAsia="zh-CN"/>
        </w:rPr>
        <w:t>发改委</w:t>
      </w:r>
      <w:r>
        <w:rPr>
          <w:rFonts w:cs="宋体" w:hint="eastAsia"/>
          <w:color w:val="000000"/>
          <w:lang w:eastAsia="zh-CN"/>
        </w:rPr>
        <w:t>：</w:t>
      </w:r>
      <w:r w:rsidRPr="00A01B02">
        <w:rPr>
          <w:rFonts w:cs="宋体" w:hint="eastAsia"/>
          <w:color w:val="000000"/>
          <w:lang w:eastAsia="zh-CN"/>
        </w:rPr>
        <w:t>将修订印发市场准入负面清单</w:t>
      </w:r>
      <w:r w:rsidRPr="00A01B02">
        <w:rPr>
          <w:rFonts w:cs="宋体"/>
          <w:color w:val="000000"/>
          <w:lang w:eastAsia="zh-CN"/>
        </w:rPr>
        <w:t>2021年版</w:t>
      </w:r>
      <w:r>
        <w:rPr>
          <w:rFonts w:cs="宋体"/>
          <w:color w:val="000000"/>
          <w:lang w:eastAsia="zh-CN"/>
        </w:rPr>
        <w:t>。</w:t>
      </w:r>
    </w:p>
    <w:p w:rsidR="00B832F4" w:rsidRDefault="00B832F4" w:rsidP="00B832F4">
      <w:pPr>
        <w:pStyle w:val="a4"/>
        <w:spacing w:before="156" w:after="156"/>
        <w:ind w:firstLine="480"/>
        <w:rPr>
          <w:rFonts w:cs="宋体"/>
          <w:color w:val="000000"/>
          <w:lang w:eastAsia="zh-CN"/>
        </w:rPr>
      </w:pPr>
      <w:r w:rsidRPr="00A01B02">
        <w:rPr>
          <w:rFonts w:hint="eastAsia"/>
          <w:highlight w:val="lightGray"/>
          <w:lang w:eastAsia="zh-CN"/>
        </w:rPr>
        <w:t>发改委</w:t>
      </w:r>
      <w:r>
        <w:rPr>
          <w:rFonts w:cs="宋体" w:hint="eastAsia"/>
          <w:color w:val="000000"/>
          <w:lang w:eastAsia="zh-CN"/>
        </w:rPr>
        <w:t>：</w:t>
      </w:r>
      <w:r w:rsidRPr="00B832F4">
        <w:rPr>
          <w:rFonts w:cs="宋体" w:hint="eastAsia"/>
          <w:color w:val="000000"/>
          <w:lang w:eastAsia="zh-CN"/>
        </w:rPr>
        <w:t>抓紧研究出台相关政策措施，推动经济绿色低碳转型和可持续发展</w:t>
      </w:r>
      <w:r>
        <w:rPr>
          <w:rFonts w:cs="宋体"/>
          <w:color w:val="000000"/>
          <w:lang w:eastAsia="zh-CN"/>
        </w:rPr>
        <w:t>。</w:t>
      </w:r>
    </w:p>
    <w:p w:rsidR="00B832F4" w:rsidRDefault="00B832F4" w:rsidP="00B832F4">
      <w:pPr>
        <w:pStyle w:val="a4"/>
        <w:spacing w:before="156" w:after="156"/>
        <w:ind w:firstLine="480"/>
        <w:rPr>
          <w:rFonts w:cs="宋体"/>
          <w:color w:val="000000"/>
          <w:lang w:eastAsia="zh-CN"/>
        </w:rPr>
      </w:pPr>
      <w:r>
        <w:rPr>
          <w:rFonts w:hint="eastAsia"/>
          <w:highlight w:val="lightGray"/>
          <w:lang w:eastAsia="zh-CN"/>
        </w:rPr>
        <w:t>国资</w:t>
      </w:r>
      <w:r w:rsidRPr="00A01B02">
        <w:rPr>
          <w:rFonts w:hint="eastAsia"/>
          <w:highlight w:val="lightGray"/>
          <w:lang w:eastAsia="zh-CN"/>
        </w:rPr>
        <w:t>委</w:t>
      </w:r>
      <w:r>
        <w:rPr>
          <w:rFonts w:cs="宋体" w:hint="eastAsia"/>
          <w:color w:val="000000"/>
          <w:lang w:eastAsia="zh-CN"/>
        </w:rPr>
        <w:t>：</w:t>
      </w:r>
      <w:r w:rsidRPr="00B832F4">
        <w:rPr>
          <w:rFonts w:cs="宋体"/>
          <w:color w:val="000000"/>
          <w:lang w:eastAsia="zh-CN"/>
        </w:rPr>
        <w:t>2020年新增22户央企控股上市公司实施股权激励</w:t>
      </w:r>
      <w:r>
        <w:rPr>
          <w:rFonts w:cs="宋体"/>
          <w:color w:val="000000"/>
          <w:lang w:eastAsia="zh-CN"/>
        </w:rPr>
        <w:t>。</w:t>
      </w:r>
    </w:p>
    <w:p w:rsidR="00B832F4" w:rsidRDefault="00B832F4" w:rsidP="00B832F4">
      <w:pPr>
        <w:pStyle w:val="a4"/>
        <w:spacing w:before="156" w:after="156"/>
        <w:ind w:firstLine="480"/>
        <w:rPr>
          <w:lang w:eastAsia="zh-CN"/>
        </w:rPr>
      </w:pPr>
      <w:r>
        <w:rPr>
          <w:rFonts w:hint="eastAsia"/>
          <w:highlight w:val="lightGray"/>
          <w:lang w:eastAsia="zh-CN"/>
        </w:rPr>
        <w:t>商务</w:t>
      </w:r>
      <w:r w:rsidRPr="00B832F4">
        <w:rPr>
          <w:rFonts w:hint="eastAsia"/>
          <w:highlight w:val="lightGray"/>
          <w:lang w:eastAsia="zh-CN"/>
        </w:rPr>
        <w:t>部</w:t>
      </w:r>
      <w:r>
        <w:rPr>
          <w:rFonts w:hint="eastAsia"/>
          <w:lang w:eastAsia="zh-CN"/>
        </w:rPr>
        <w:t>：</w:t>
      </w:r>
      <w:r w:rsidRPr="00B832F4">
        <w:rPr>
          <w:lang w:eastAsia="zh-CN"/>
        </w:rPr>
        <w:t>2021年将鼓励有条件的地区开展汽车下乡和汽车、家电、家具以旧换新</w:t>
      </w:r>
      <w:r>
        <w:rPr>
          <w:rFonts w:hint="eastAsia"/>
          <w:lang w:eastAsia="zh-CN"/>
        </w:rPr>
        <w:t>。</w:t>
      </w:r>
    </w:p>
    <w:p w:rsidR="00B832F4" w:rsidRDefault="00B832F4" w:rsidP="00B832F4">
      <w:pPr>
        <w:pStyle w:val="a4"/>
        <w:spacing w:before="156" w:after="156"/>
        <w:ind w:firstLine="480"/>
        <w:rPr>
          <w:lang w:eastAsia="zh-CN"/>
        </w:rPr>
      </w:pPr>
      <w:r>
        <w:rPr>
          <w:rFonts w:hint="eastAsia"/>
          <w:highlight w:val="lightGray"/>
          <w:lang w:eastAsia="zh-CN"/>
        </w:rPr>
        <w:t>中国结算</w:t>
      </w:r>
      <w:r>
        <w:rPr>
          <w:rFonts w:hint="eastAsia"/>
          <w:lang w:eastAsia="zh-CN"/>
        </w:rPr>
        <w:t>：</w:t>
      </w:r>
      <w:r w:rsidRPr="00B832F4">
        <w:rPr>
          <w:lang w:eastAsia="zh-CN"/>
        </w:rPr>
        <w:t>2020年12月A股新增投资者162.18万，同比增长100.39%</w:t>
      </w:r>
      <w:r>
        <w:rPr>
          <w:rFonts w:hint="eastAsia"/>
          <w:lang w:eastAsia="zh-CN"/>
        </w:rPr>
        <w:t>。</w:t>
      </w:r>
    </w:p>
    <w:p w:rsidR="00425B93" w:rsidRDefault="008659C3">
      <w:pPr>
        <w:pStyle w:val="a4"/>
        <w:spacing w:before="156" w:after="156"/>
        <w:ind w:firstLine="482"/>
        <w:rPr>
          <w:b/>
          <w:bCs/>
          <w:lang w:eastAsia="zh-CN"/>
        </w:rPr>
      </w:pPr>
      <w:r>
        <w:rPr>
          <w:rFonts w:hint="eastAsia"/>
          <w:b/>
          <w:bCs/>
          <w:lang w:eastAsia="zh-CN"/>
        </w:rPr>
        <w:t>1月</w:t>
      </w:r>
      <w:r w:rsidR="00B832F4">
        <w:rPr>
          <w:b/>
          <w:bCs/>
          <w:lang w:eastAsia="zh-CN"/>
        </w:rPr>
        <w:t>21</w:t>
      </w:r>
      <w:r>
        <w:rPr>
          <w:rFonts w:hint="eastAsia"/>
          <w:b/>
          <w:bCs/>
          <w:lang w:eastAsia="zh-CN"/>
        </w:rPr>
        <w:t>日</w:t>
      </w:r>
    </w:p>
    <w:p w:rsidR="00B832F4" w:rsidRDefault="00B832F4" w:rsidP="00B832F4">
      <w:pPr>
        <w:pStyle w:val="a4"/>
        <w:spacing w:before="156" w:after="156"/>
        <w:ind w:firstLine="480"/>
        <w:rPr>
          <w:lang w:eastAsia="zh-CN"/>
        </w:rPr>
      </w:pPr>
      <w:r>
        <w:rPr>
          <w:rFonts w:hint="eastAsia"/>
          <w:highlight w:val="lightGray"/>
          <w:lang w:eastAsia="zh-CN"/>
        </w:rPr>
        <w:t>科技</w:t>
      </w:r>
      <w:r w:rsidRPr="00B832F4">
        <w:rPr>
          <w:rFonts w:hint="eastAsia"/>
          <w:highlight w:val="lightGray"/>
          <w:lang w:eastAsia="zh-CN"/>
        </w:rPr>
        <w:t>部</w:t>
      </w:r>
      <w:r>
        <w:rPr>
          <w:rFonts w:hint="eastAsia"/>
          <w:lang w:eastAsia="zh-CN"/>
        </w:rPr>
        <w:t>：</w:t>
      </w:r>
      <w:r w:rsidRPr="00B832F4">
        <w:rPr>
          <w:rFonts w:hint="eastAsia"/>
          <w:lang w:eastAsia="zh-CN"/>
        </w:rPr>
        <w:t>全力支持北京培育建设国家实验室</w:t>
      </w:r>
      <w:r>
        <w:rPr>
          <w:rFonts w:hint="eastAsia"/>
          <w:lang w:eastAsia="zh-CN"/>
        </w:rPr>
        <w:t>。</w:t>
      </w:r>
    </w:p>
    <w:p w:rsidR="00B832F4" w:rsidRDefault="00B832F4" w:rsidP="00B832F4">
      <w:pPr>
        <w:pStyle w:val="a4"/>
        <w:spacing w:before="156" w:after="156"/>
        <w:ind w:firstLine="480"/>
        <w:rPr>
          <w:lang w:eastAsia="zh-CN"/>
        </w:rPr>
      </w:pPr>
      <w:r w:rsidRPr="00B832F4">
        <w:rPr>
          <w:rFonts w:hint="eastAsia"/>
          <w:highlight w:val="lightGray"/>
          <w:lang w:eastAsia="zh-CN"/>
        </w:rPr>
        <w:t>国</w:t>
      </w:r>
      <w:r>
        <w:rPr>
          <w:rFonts w:hint="eastAsia"/>
          <w:highlight w:val="lightGray"/>
          <w:lang w:eastAsia="zh-CN"/>
        </w:rPr>
        <w:t>家税务总局</w:t>
      </w:r>
      <w:r>
        <w:rPr>
          <w:rFonts w:hint="eastAsia"/>
          <w:lang w:eastAsia="zh-CN"/>
        </w:rPr>
        <w:t>：：</w:t>
      </w:r>
      <w:r>
        <w:rPr>
          <w:lang w:eastAsia="zh-CN"/>
        </w:rPr>
        <w:t>2020年全国税务部门组织的税收收入（已扣除出口退税）完成136780亿元，</w:t>
      </w:r>
      <w:r>
        <w:rPr>
          <w:rFonts w:hint="eastAsia"/>
          <w:lang w:eastAsia="zh-CN"/>
        </w:rPr>
        <w:t>同比下降</w:t>
      </w:r>
      <w:r>
        <w:rPr>
          <w:lang w:eastAsia="zh-CN"/>
        </w:rPr>
        <w:t>2.6%</w:t>
      </w:r>
      <w:r>
        <w:rPr>
          <w:rFonts w:hint="eastAsia"/>
          <w:lang w:eastAsia="zh-CN"/>
        </w:rPr>
        <w:t>。</w:t>
      </w:r>
    </w:p>
    <w:p w:rsidR="00B832F4" w:rsidRDefault="00B832F4" w:rsidP="00B832F4">
      <w:pPr>
        <w:pStyle w:val="a4"/>
        <w:spacing w:before="156" w:after="156"/>
        <w:ind w:firstLine="480"/>
        <w:rPr>
          <w:lang w:eastAsia="zh-CN"/>
        </w:rPr>
      </w:pPr>
      <w:r w:rsidRPr="00B832F4">
        <w:rPr>
          <w:rFonts w:hint="eastAsia"/>
          <w:highlight w:val="lightGray"/>
          <w:lang w:eastAsia="zh-CN"/>
        </w:rPr>
        <w:t>交通</w:t>
      </w:r>
      <w:r>
        <w:rPr>
          <w:rFonts w:hint="eastAsia"/>
          <w:highlight w:val="lightGray"/>
          <w:lang w:eastAsia="zh-CN"/>
        </w:rPr>
        <w:t>运输部</w:t>
      </w:r>
      <w:r>
        <w:rPr>
          <w:rFonts w:hint="eastAsia"/>
          <w:lang w:eastAsia="zh-CN"/>
        </w:rPr>
        <w:t>：</w:t>
      </w:r>
      <w:r w:rsidRPr="00B832F4">
        <w:rPr>
          <w:rFonts w:hint="eastAsia"/>
          <w:lang w:eastAsia="zh-CN"/>
        </w:rPr>
        <w:t>预计</w:t>
      </w:r>
      <w:r w:rsidRPr="00B832F4">
        <w:rPr>
          <w:lang w:eastAsia="zh-CN"/>
        </w:rPr>
        <w:t>2021年全国春运期间发送旅客17亿人次左右</w:t>
      </w:r>
      <w:r>
        <w:rPr>
          <w:rFonts w:hint="eastAsia"/>
          <w:lang w:eastAsia="zh-CN"/>
        </w:rPr>
        <w:t>。</w:t>
      </w:r>
    </w:p>
    <w:p w:rsidR="00B832F4" w:rsidRDefault="00B832F4" w:rsidP="00B832F4">
      <w:pPr>
        <w:pStyle w:val="a4"/>
        <w:spacing w:before="156" w:after="156"/>
        <w:ind w:firstLine="480"/>
        <w:rPr>
          <w:lang w:eastAsia="zh-CN"/>
        </w:rPr>
      </w:pPr>
      <w:r w:rsidRPr="009D4DDF">
        <w:rPr>
          <w:rFonts w:hint="eastAsia"/>
          <w:highlight w:val="lightGray"/>
          <w:lang w:eastAsia="zh-CN"/>
        </w:rPr>
        <w:t>工信部</w:t>
      </w:r>
      <w:r>
        <w:rPr>
          <w:rFonts w:cs="宋体"/>
          <w:color w:val="000000"/>
          <w:lang w:eastAsia="zh-CN"/>
        </w:rPr>
        <w:t>：</w:t>
      </w:r>
      <w:r w:rsidRPr="00B832F4">
        <w:rPr>
          <w:rFonts w:cs="宋体" w:hint="eastAsia"/>
          <w:color w:val="000000"/>
          <w:lang w:eastAsia="zh-CN"/>
        </w:rPr>
        <w:t>加快推动</w:t>
      </w:r>
      <w:r w:rsidRPr="00B832F4">
        <w:rPr>
          <w:rFonts w:cs="宋体"/>
          <w:color w:val="000000"/>
          <w:lang w:eastAsia="zh-CN"/>
        </w:rPr>
        <w:t>5G、车联网等建设部署，将北京打造成为新型基础设施建设的标杆城市</w:t>
      </w:r>
      <w:r>
        <w:rPr>
          <w:rFonts w:cs="宋体"/>
          <w:color w:val="000000"/>
          <w:lang w:eastAsia="zh-CN"/>
        </w:rPr>
        <w:t>。</w:t>
      </w:r>
    </w:p>
    <w:p w:rsidR="00B832F4" w:rsidRDefault="00B832F4" w:rsidP="00B832F4">
      <w:pPr>
        <w:pStyle w:val="a4"/>
        <w:spacing w:before="156" w:after="156"/>
        <w:ind w:firstLine="480"/>
        <w:rPr>
          <w:rFonts w:cs="宋体"/>
          <w:color w:val="000000"/>
          <w:lang w:eastAsia="zh-CN"/>
        </w:rPr>
      </w:pPr>
      <w:r>
        <w:rPr>
          <w:rFonts w:hint="eastAsia"/>
          <w:highlight w:val="lightGray"/>
          <w:lang w:eastAsia="zh-CN"/>
        </w:rPr>
        <w:t>国家能源局</w:t>
      </w:r>
      <w:r>
        <w:rPr>
          <w:rFonts w:cs="宋体" w:hint="eastAsia"/>
          <w:color w:val="000000"/>
          <w:lang w:eastAsia="zh-CN"/>
        </w:rPr>
        <w:t>：</w:t>
      </w:r>
      <w:r w:rsidRPr="00B832F4">
        <w:rPr>
          <w:rFonts w:cs="宋体"/>
          <w:color w:val="000000"/>
          <w:lang w:eastAsia="zh-CN"/>
        </w:rPr>
        <w:t>2020年全社会用电量75110亿千瓦时，同比增长3.1%</w:t>
      </w:r>
      <w:r>
        <w:rPr>
          <w:rFonts w:cs="宋体"/>
          <w:color w:val="000000"/>
          <w:lang w:eastAsia="zh-CN"/>
        </w:rPr>
        <w:t>。</w:t>
      </w:r>
    </w:p>
    <w:p w:rsidR="00780474" w:rsidRDefault="00780474" w:rsidP="00780474">
      <w:pPr>
        <w:pStyle w:val="a4"/>
        <w:spacing w:before="156" w:after="156"/>
        <w:ind w:firstLine="482"/>
        <w:rPr>
          <w:b/>
          <w:bCs/>
          <w:lang w:eastAsia="zh-CN"/>
        </w:rPr>
      </w:pPr>
      <w:r>
        <w:rPr>
          <w:rFonts w:hint="eastAsia"/>
          <w:b/>
          <w:bCs/>
          <w:lang w:eastAsia="zh-CN"/>
        </w:rPr>
        <w:t>1月</w:t>
      </w:r>
      <w:r w:rsidR="00B832F4">
        <w:rPr>
          <w:b/>
          <w:bCs/>
          <w:lang w:eastAsia="zh-CN"/>
        </w:rPr>
        <w:t>22</w:t>
      </w:r>
      <w:r>
        <w:rPr>
          <w:rFonts w:hint="eastAsia"/>
          <w:b/>
          <w:bCs/>
          <w:lang w:eastAsia="zh-CN"/>
        </w:rPr>
        <w:t>日</w:t>
      </w:r>
    </w:p>
    <w:p w:rsidR="00B832F4" w:rsidRDefault="00B832F4" w:rsidP="00B832F4">
      <w:pPr>
        <w:pStyle w:val="a4"/>
        <w:spacing w:before="156" w:after="156"/>
        <w:ind w:firstLine="480"/>
        <w:rPr>
          <w:lang w:eastAsia="zh-CN"/>
        </w:rPr>
      </w:pPr>
      <w:r>
        <w:rPr>
          <w:rFonts w:hint="eastAsia"/>
          <w:highlight w:val="lightGray"/>
          <w:lang w:eastAsia="zh-CN"/>
        </w:rPr>
        <w:t>商务</w:t>
      </w:r>
      <w:r w:rsidRPr="009D4DDF">
        <w:rPr>
          <w:rFonts w:hint="eastAsia"/>
          <w:highlight w:val="lightGray"/>
          <w:lang w:eastAsia="zh-CN"/>
        </w:rPr>
        <w:t>部</w:t>
      </w:r>
      <w:r>
        <w:rPr>
          <w:rFonts w:cs="宋体"/>
          <w:color w:val="000000"/>
          <w:lang w:eastAsia="zh-CN"/>
        </w:rPr>
        <w:t>：</w:t>
      </w:r>
      <w:r w:rsidRPr="00B832F4">
        <w:rPr>
          <w:rFonts w:cs="宋体" w:hint="eastAsia"/>
          <w:color w:val="000000"/>
          <w:lang w:eastAsia="zh-CN"/>
        </w:rPr>
        <w:t>将进一步扩大自贸网络的范围</w:t>
      </w:r>
      <w:r>
        <w:rPr>
          <w:rFonts w:cs="宋体"/>
          <w:color w:val="000000"/>
          <w:lang w:eastAsia="zh-CN"/>
        </w:rPr>
        <w:t>。</w:t>
      </w:r>
    </w:p>
    <w:p w:rsidR="00B832F4" w:rsidRDefault="00B832F4" w:rsidP="00B832F4">
      <w:pPr>
        <w:pStyle w:val="a4"/>
        <w:spacing w:before="156" w:after="156"/>
        <w:ind w:firstLine="480"/>
        <w:rPr>
          <w:rFonts w:cs="宋体"/>
          <w:color w:val="000000"/>
          <w:lang w:eastAsia="zh-CN"/>
        </w:rPr>
      </w:pPr>
      <w:r>
        <w:rPr>
          <w:rFonts w:hint="eastAsia"/>
          <w:highlight w:val="lightGray"/>
          <w:lang w:eastAsia="zh-CN"/>
        </w:rPr>
        <w:lastRenderedPageBreak/>
        <w:t>商务</w:t>
      </w:r>
      <w:r w:rsidRPr="009D4DDF">
        <w:rPr>
          <w:rFonts w:hint="eastAsia"/>
          <w:highlight w:val="lightGray"/>
          <w:lang w:eastAsia="zh-CN"/>
        </w:rPr>
        <w:t>部</w:t>
      </w:r>
      <w:r>
        <w:rPr>
          <w:rFonts w:cs="宋体"/>
          <w:color w:val="000000"/>
          <w:lang w:eastAsia="zh-CN"/>
        </w:rPr>
        <w:t>：</w:t>
      </w:r>
      <w:r w:rsidRPr="00B832F4">
        <w:rPr>
          <w:rFonts w:cs="宋体" w:hint="eastAsia"/>
          <w:color w:val="000000"/>
          <w:lang w:eastAsia="zh-CN"/>
        </w:rPr>
        <w:t>正积极推进海南自由贸易港跨境服务贸易负面清单相关工作</w:t>
      </w:r>
      <w:r>
        <w:rPr>
          <w:rFonts w:cs="宋体"/>
          <w:color w:val="000000"/>
          <w:lang w:eastAsia="zh-CN"/>
        </w:rPr>
        <w:t>。</w:t>
      </w:r>
    </w:p>
    <w:p w:rsidR="0089358A" w:rsidRDefault="0089358A" w:rsidP="0089358A">
      <w:pPr>
        <w:pStyle w:val="a4"/>
        <w:spacing w:before="156" w:after="156"/>
        <w:ind w:firstLine="480"/>
        <w:rPr>
          <w:lang w:eastAsia="zh-CN"/>
        </w:rPr>
      </w:pPr>
      <w:r>
        <w:rPr>
          <w:rFonts w:hint="eastAsia"/>
          <w:highlight w:val="lightGray"/>
          <w:lang w:eastAsia="zh-CN"/>
        </w:rPr>
        <w:t>商务</w:t>
      </w:r>
      <w:r w:rsidRPr="009D4DDF">
        <w:rPr>
          <w:rFonts w:hint="eastAsia"/>
          <w:highlight w:val="lightGray"/>
          <w:lang w:eastAsia="zh-CN"/>
        </w:rPr>
        <w:t>部</w:t>
      </w:r>
      <w:r>
        <w:rPr>
          <w:rFonts w:cs="宋体"/>
          <w:color w:val="000000"/>
          <w:lang w:eastAsia="zh-CN"/>
        </w:rPr>
        <w:t>：</w:t>
      </w:r>
      <w:r w:rsidRPr="0089358A">
        <w:rPr>
          <w:rFonts w:cs="宋体"/>
          <w:color w:val="000000"/>
          <w:lang w:eastAsia="zh-CN"/>
        </w:rPr>
        <w:t>2020年我国对外直接投资1329.4亿美元（折合9169.7亿元人民币），同比增长3.3%</w:t>
      </w:r>
      <w:r>
        <w:rPr>
          <w:rFonts w:cs="宋体"/>
          <w:color w:val="000000"/>
          <w:lang w:eastAsia="zh-CN"/>
        </w:rPr>
        <w:t>。</w:t>
      </w:r>
    </w:p>
    <w:p w:rsidR="0089358A" w:rsidRDefault="0089358A" w:rsidP="0089358A">
      <w:pPr>
        <w:pStyle w:val="a4"/>
        <w:spacing w:before="156" w:after="156"/>
        <w:ind w:firstLine="480"/>
        <w:rPr>
          <w:rFonts w:cs="宋体"/>
          <w:color w:val="000000"/>
          <w:lang w:eastAsia="zh-CN"/>
        </w:rPr>
      </w:pPr>
      <w:r>
        <w:rPr>
          <w:rFonts w:hint="eastAsia"/>
          <w:highlight w:val="lightGray"/>
          <w:lang w:eastAsia="zh-CN"/>
        </w:rPr>
        <w:t>SWIFT</w:t>
      </w:r>
      <w:r>
        <w:rPr>
          <w:rFonts w:cs="宋体"/>
          <w:color w:val="000000"/>
          <w:lang w:eastAsia="zh-CN"/>
        </w:rPr>
        <w:t>：</w:t>
      </w:r>
      <w:r w:rsidRPr="0089358A">
        <w:rPr>
          <w:rFonts w:cs="宋体"/>
          <w:color w:val="000000"/>
          <w:lang w:eastAsia="zh-CN"/>
        </w:rPr>
        <w:t>2020年12月人民币国际支付份额维持全球第五</w:t>
      </w:r>
      <w:r>
        <w:rPr>
          <w:rFonts w:cs="宋体"/>
          <w:color w:val="000000"/>
          <w:lang w:eastAsia="zh-CN"/>
        </w:rPr>
        <w:t>。</w:t>
      </w:r>
    </w:p>
    <w:p w:rsidR="0089358A" w:rsidRDefault="0089358A" w:rsidP="0089358A">
      <w:pPr>
        <w:pStyle w:val="a4"/>
        <w:spacing w:before="156" w:after="156"/>
        <w:ind w:firstLine="480"/>
        <w:rPr>
          <w:lang w:eastAsia="zh-CN"/>
        </w:rPr>
      </w:pPr>
      <w:r>
        <w:rPr>
          <w:rFonts w:hint="eastAsia"/>
          <w:highlight w:val="lightGray"/>
          <w:lang w:eastAsia="zh-CN"/>
        </w:rPr>
        <w:t>海关总署</w:t>
      </w:r>
      <w:r>
        <w:rPr>
          <w:rFonts w:cs="宋体"/>
          <w:color w:val="000000"/>
          <w:lang w:eastAsia="zh-CN"/>
        </w:rPr>
        <w:t>：</w:t>
      </w:r>
      <w:r w:rsidRPr="0089358A">
        <w:rPr>
          <w:rFonts w:cs="宋体"/>
          <w:color w:val="000000"/>
          <w:lang w:eastAsia="zh-CN"/>
        </w:rPr>
        <w:t>2020年海关立案侦办跨境电商渠道走私犯罪案件79起、案值104.9亿元</w:t>
      </w:r>
      <w:r>
        <w:rPr>
          <w:rFonts w:cs="宋体"/>
          <w:color w:val="000000"/>
          <w:lang w:eastAsia="zh-CN"/>
        </w:rPr>
        <w:t>。</w:t>
      </w:r>
    </w:p>
    <w:p w:rsidR="00425B93" w:rsidRDefault="008659C3">
      <w:pPr>
        <w:pStyle w:val="1"/>
        <w:spacing w:before="156" w:after="156"/>
      </w:pPr>
      <w:bookmarkStart w:id="39" w:name="_Toc62456452"/>
      <w:r>
        <w:rPr>
          <w:rFonts w:hint="eastAsia"/>
        </w:rPr>
        <w:t>【国际经济简讯】</w:t>
      </w:r>
      <w:bookmarkEnd w:id="39"/>
    </w:p>
    <w:p w:rsidR="00425B93" w:rsidRDefault="008659C3">
      <w:pPr>
        <w:pStyle w:val="a4"/>
        <w:spacing w:before="156" w:after="156"/>
        <w:ind w:firstLine="482"/>
        <w:rPr>
          <w:b/>
          <w:bCs/>
          <w:lang w:eastAsia="zh-CN"/>
        </w:rPr>
      </w:pPr>
      <w:bookmarkStart w:id="40" w:name="_Toc452921885"/>
      <w:bookmarkStart w:id="41" w:name="_Toc29923"/>
      <w:r>
        <w:rPr>
          <w:rFonts w:hint="eastAsia"/>
          <w:b/>
          <w:bCs/>
          <w:lang w:eastAsia="zh-CN"/>
        </w:rPr>
        <w:t>1月</w:t>
      </w:r>
      <w:r w:rsidR="0089358A">
        <w:rPr>
          <w:b/>
          <w:bCs/>
          <w:lang w:eastAsia="zh-CN"/>
        </w:rPr>
        <w:t>18</w:t>
      </w:r>
      <w:r>
        <w:rPr>
          <w:rFonts w:hint="eastAsia"/>
          <w:b/>
          <w:bCs/>
          <w:lang w:eastAsia="zh-CN"/>
        </w:rPr>
        <w:t>日</w:t>
      </w:r>
    </w:p>
    <w:p w:rsidR="0089358A" w:rsidRDefault="0089358A" w:rsidP="0089358A">
      <w:pPr>
        <w:pStyle w:val="a4"/>
        <w:spacing w:before="156" w:after="156"/>
        <w:ind w:firstLine="480"/>
        <w:rPr>
          <w:rFonts w:cs="宋体"/>
          <w:lang w:eastAsia="zh-CN"/>
        </w:rPr>
      </w:pPr>
      <w:r w:rsidRPr="0089358A">
        <w:rPr>
          <w:rFonts w:hint="eastAsia"/>
          <w:highlight w:val="lightGray"/>
          <w:lang w:eastAsia="zh-CN"/>
        </w:rPr>
        <w:t>美国</w:t>
      </w:r>
      <w:r>
        <w:rPr>
          <w:rFonts w:hint="eastAsia"/>
          <w:lang w:eastAsia="zh-CN"/>
        </w:rPr>
        <w:t>：</w:t>
      </w:r>
      <w:r w:rsidRPr="0089358A">
        <w:rPr>
          <w:rFonts w:cs="宋体" w:hint="eastAsia"/>
          <w:color w:val="000000"/>
          <w:lang w:eastAsia="zh-CN"/>
        </w:rPr>
        <w:t>拜登团队首份经济救助方案</w:t>
      </w:r>
      <w:r w:rsidRPr="0089358A">
        <w:rPr>
          <w:rFonts w:cs="宋体"/>
          <w:color w:val="000000"/>
          <w:lang w:eastAsia="zh-CN"/>
        </w:rPr>
        <w:t>1.9万亿美元</w:t>
      </w:r>
      <w:r>
        <w:rPr>
          <w:rFonts w:cs="宋体"/>
          <w:color w:val="000000"/>
          <w:lang w:eastAsia="zh-CN"/>
        </w:rPr>
        <w:t>。</w:t>
      </w:r>
    </w:p>
    <w:p w:rsidR="0089358A" w:rsidRDefault="0089358A" w:rsidP="0089358A">
      <w:pPr>
        <w:pStyle w:val="a4"/>
        <w:spacing w:before="156" w:after="156"/>
        <w:ind w:firstLine="480"/>
        <w:rPr>
          <w:rFonts w:cs="宋体"/>
          <w:lang w:eastAsia="zh-CN"/>
        </w:rPr>
      </w:pPr>
      <w:r w:rsidRPr="0089358A">
        <w:rPr>
          <w:rFonts w:hint="eastAsia"/>
          <w:highlight w:val="lightGray"/>
          <w:lang w:eastAsia="zh-CN"/>
        </w:rPr>
        <w:t>美国</w:t>
      </w:r>
      <w:r>
        <w:rPr>
          <w:rFonts w:hint="eastAsia"/>
          <w:lang w:eastAsia="zh-CN"/>
        </w:rPr>
        <w:t>：</w:t>
      </w:r>
      <w:r w:rsidRPr="0089358A">
        <w:rPr>
          <w:rFonts w:cs="宋体" w:hint="eastAsia"/>
          <w:color w:val="000000"/>
          <w:lang w:eastAsia="zh-CN"/>
        </w:rPr>
        <w:t>美国国债在特朗普治下增加</w:t>
      </w:r>
      <w:r w:rsidRPr="0089358A">
        <w:rPr>
          <w:rFonts w:cs="宋体"/>
          <w:color w:val="000000"/>
          <w:lang w:eastAsia="zh-CN"/>
        </w:rPr>
        <w:t>7万亿美元</w:t>
      </w:r>
      <w:r>
        <w:rPr>
          <w:rFonts w:cs="宋体"/>
          <w:color w:val="000000"/>
          <w:lang w:eastAsia="zh-CN"/>
        </w:rPr>
        <w:t>。</w:t>
      </w:r>
    </w:p>
    <w:p w:rsidR="0089358A" w:rsidRDefault="0089358A" w:rsidP="0089358A">
      <w:pPr>
        <w:pStyle w:val="a4"/>
        <w:spacing w:before="156" w:after="156"/>
        <w:ind w:firstLine="480"/>
        <w:rPr>
          <w:rFonts w:cs="宋体"/>
          <w:lang w:eastAsia="zh-CN"/>
        </w:rPr>
      </w:pPr>
      <w:r>
        <w:rPr>
          <w:rFonts w:hint="eastAsia"/>
          <w:highlight w:val="lightGray"/>
          <w:lang w:eastAsia="zh-CN"/>
        </w:rPr>
        <w:t>欧委会主席</w:t>
      </w:r>
      <w:r>
        <w:rPr>
          <w:rFonts w:hint="eastAsia"/>
          <w:lang w:eastAsia="zh-CN"/>
        </w:rPr>
        <w:t>：</w:t>
      </w:r>
      <w:r w:rsidRPr="0089358A">
        <w:rPr>
          <w:rFonts w:cs="宋体" w:hint="eastAsia"/>
          <w:color w:val="000000"/>
          <w:lang w:eastAsia="zh-CN"/>
        </w:rPr>
        <w:t>力争半年内开始发放欧盟恢复基金</w:t>
      </w:r>
      <w:r>
        <w:rPr>
          <w:rFonts w:cs="宋体"/>
          <w:color w:val="000000"/>
          <w:lang w:eastAsia="zh-CN"/>
        </w:rPr>
        <w:t>。</w:t>
      </w:r>
    </w:p>
    <w:p w:rsidR="0089358A" w:rsidRDefault="0089358A" w:rsidP="0089358A">
      <w:pPr>
        <w:pStyle w:val="a4"/>
        <w:spacing w:before="156" w:after="156"/>
        <w:ind w:firstLine="480"/>
        <w:rPr>
          <w:rFonts w:cs="宋体"/>
          <w:lang w:eastAsia="zh-CN"/>
        </w:rPr>
      </w:pPr>
      <w:r>
        <w:rPr>
          <w:rFonts w:hint="eastAsia"/>
          <w:highlight w:val="lightGray"/>
          <w:lang w:eastAsia="zh-CN"/>
        </w:rPr>
        <w:t>英</w:t>
      </w:r>
      <w:r w:rsidRPr="0089358A">
        <w:rPr>
          <w:rFonts w:hint="eastAsia"/>
          <w:highlight w:val="lightGray"/>
          <w:lang w:eastAsia="zh-CN"/>
        </w:rPr>
        <w:t>国</w:t>
      </w:r>
      <w:r>
        <w:rPr>
          <w:rFonts w:hint="eastAsia"/>
          <w:lang w:eastAsia="zh-CN"/>
        </w:rPr>
        <w:t>：</w:t>
      </w:r>
      <w:r w:rsidRPr="0089358A">
        <w:rPr>
          <w:rFonts w:cs="宋体" w:hint="eastAsia"/>
          <w:color w:val="000000"/>
          <w:lang w:eastAsia="zh-CN"/>
        </w:rPr>
        <w:t>经济</w:t>
      </w:r>
      <w:r w:rsidRPr="0089358A">
        <w:rPr>
          <w:rFonts w:cs="宋体"/>
          <w:color w:val="000000"/>
          <w:lang w:eastAsia="zh-CN"/>
        </w:rPr>
        <w:t>2020年11月环比萎缩2.6%</w:t>
      </w:r>
      <w:r>
        <w:rPr>
          <w:rFonts w:cs="宋体"/>
          <w:color w:val="000000"/>
          <w:lang w:eastAsia="zh-CN"/>
        </w:rPr>
        <w:t>。</w:t>
      </w:r>
    </w:p>
    <w:p w:rsidR="0089358A" w:rsidRDefault="0089358A" w:rsidP="0089358A">
      <w:pPr>
        <w:pStyle w:val="a4"/>
        <w:spacing w:before="156" w:after="156"/>
        <w:ind w:firstLine="480"/>
        <w:rPr>
          <w:rFonts w:cs="宋体"/>
          <w:lang w:eastAsia="zh-CN"/>
        </w:rPr>
      </w:pPr>
      <w:r w:rsidRPr="0089358A">
        <w:rPr>
          <w:rFonts w:hint="eastAsia"/>
          <w:highlight w:val="lightGray"/>
          <w:lang w:eastAsia="zh-CN"/>
        </w:rPr>
        <w:t>德国</w:t>
      </w:r>
      <w:r>
        <w:rPr>
          <w:rFonts w:hint="eastAsia"/>
          <w:lang w:eastAsia="zh-CN"/>
        </w:rPr>
        <w:t>：</w:t>
      </w:r>
      <w:r w:rsidRPr="0089358A">
        <w:rPr>
          <w:rFonts w:cs="宋体" w:hint="eastAsia"/>
          <w:color w:val="000000"/>
          <w:lang w:eastAsia="zh-CN"/>
        </w:rPr>
        <w:t>德国执政党基民盟召开党代会将选举党主席</w:t>
      </w:r>
      <w:r>
        <w:rPr>
          <w:rFonts w:cs="宋体"/>
          <w:color w:val="000000"/>
          <w:lang w:eastAsia="zh-CN"/>
        </w:rPr>
        <w:t>。</w:t>
      </w:r>
    </w:p>
    <w:p w:rsidR="00425B93" w:rsidRDefault="008659C3">
      <w:pPr>
        <w:pStyle w:val="a4"/>
        <w:spacing w:before="156" w:after="156"/>
        <w:ind w:firstLine="482"/>
        <w:rPr>
          <w:b/>
          <w:bCs/>
          <w:lang w:eastAsia="zh-CN"/>
        </w:rPr>
      </w:pPr>
      <w:r>
        <w:rPr>
          <w:rFonts w:hint="eastAsia"/>
          <w:b/>
          <w:bCs/>
          <w:lang w:eastAsia="zh-CN"/>
        </w:rPr>
        <w:t>1月</w:t>
      </w:r>
      <w:r w:rsidR="0089358A">
        <w:rPr>
          <w:b/>
          <w:bCs/>
          <w:lang w:eastAsia="zh-CN"/>
        </w:rPr>
        <w:t>19</w:t>
      </w:r>
      <w:r>
        <w:rPr>
          <w:rFonts w:hint="eastAsia"/>
          <w:b/>
          <w:bCs/>
          <w:lang w:eastAsia="zh-CN"/>
        </w:rPr>
        <w:t>日</w:t>
      </w:r>
    </w:p>
    <w:p w:rsidR="0089358A" w:rsidRDefault="0089358A" w:rsidP="0089358A">
      <w:pPr>
        <w:pStyle w:val="a4"/>
        <w:spacing w:before="156" w:after="156"/>
        <w:ind w:firstLine="480"/>
        <w:rPr>
          <w:rFonts w:cs="宋体"/>
          <w:lang w:eastAsia="zh-CN"/>
        </w:rPr>
      </w:pPr>
      <w:r w:rsidRPr="0089358A">
        <w:rPr>
          <w:rFonts w:hint="eastAsia"/>
          <w:highlight w:val="lightGray"/>
          <w:lang w:eastAsia="zh-CN"/>
        </w:rPr>
        <w:t>美国</w:t>
      </w:r>
      <w:r>
        <w:rPr>
          <w:rFonts w:hint="eastAsia"/>
          <w:lang w:eastAsia="zh-CN"/>
        </w:rPr>
        <w:t>：</w:t>
      </w:r>
      <w:r w:rsidRPr="0089358A">
        <w:rPr>
          <w:rFonts w:cs="宋体" w:hint="eastAsia"/>
          <w:color w:val="000000"/>
          <w:lang w:eastAsia="zh-CN"/>
        </w:rPr>
        <w:t>耶伦将明确美国不寻求弱势美元</w:t>
      </w:r>
      <w:r>
        <w:rPr>
          <w:rFonts w:cs="宋体"/>
          <w:color w:val="000000"/>
          <w:lang w:eastAsia="zh-CN"/>
        </w:rPr>
        <w:t>。</w:t>
      </w:r>
    </w:p>
    <w:p w:rsidR="00425B93" w:rsidRDefault="008659C3">
      <w:pPr>
        <w:pStyle w:val="a4"/>
        <w:tabs>
          <w:tab w:val="left" w:pos="2657"/>
        </w:tabs>
        <w:spacing w:before="156" w:after="156"/>
        <w:ind w:firstLine="482"/>
        <w:rPr>
          <w:b/>
          <w:bCs/>
          <w:lang w:eastAsia="zh-CN"/>
        </w:rPr>
      </w:pPr>
      <w:r>
        <w:rPr>
          <w:rFonts w:hint="eastAsia"/>
          <w:b/>
          <w:bCs/>
          <w:lang w:eastAsia="zh-CN"/>
        </w:rPr>
        <w:t>1月</w:t>
      </w:r>
      <w:r w:rsidR="0089358A">
        <w:rPr>
          <w:b/>
          <w:bCs/>
          <w:lang w:eastAsia="zh-CN"/>
        </w:rPr>
        <w:t>20</w:t>
      </w:r>
      <w:r>
        <w:rPr>
          <w:rFonts w:hint="eastAsia"/>
          <w:b/>
          <w:bCs/>
          <w:lang w:eastAsia="zh-CN"/>
        </w:rPr>
        <w:t>日</w:t>
      </w:r>
    </w:p>
    <w:p w:rsidR="0089358A" w:rsidRDefault="0089358A" w:rsidP="0089358A">
      <w:pPr>
        <w:pStyle w:val="a4"/>
        <w:spacing w:before="156" w:after="156"/>
        <w:ind w:firstLine="480"/>
        <w:rPr>
          <w:rFonts w:cs="宋体"/>
          <w:lang w:eastAsia="zh-CN"/>
        </w:rPr>
      </w:pPr>
      <w:r w:rsidRPr="0089358A">
        <w:rPr>
          <w:rFonts w:hint="eastAsia"/>
          <w:highlight w:val="lightGray"/>
          <w:lang w:eastAsia="zh-CN"/>
        </w:rPr>
        <w:t>美国</w:t>
      </w:r>
      <w:r>
        <w:rPr>
          <w:rFonts w:hint="eastAsia"/>
          <w:lang w:eastAsia="zh-CN"/>
        </w:rPr>
        <w:t>：</w:t>
      </w:r>
      <w:r w:rsidRPr="0089358A">
        <w:rPr>
          <w:rFonts w:cs="宋体" w:hint="eastAsia"/>
          <w:color w:val="000000"/>
          <w:lang w:eastAsia="zh-CN"/>
        </w:rPr>
        <w:t>美国宣布针对俄罗斯和委内瑞拉的新制裁措施</w:t>
      </w:r>
      <w:r>
        <w:rPr>
          <w:rFonts w:cs="宋体"/>
          <w:color w:val="000000"/>
          <w:lang w:eastAsia="zh-CN"/>
        </w:rPr>
        <w:t>。</w:t>
      </w:r>
    </w:p>
    <w:p w:rsidR="0089358A" w:rsidRDefault="0089358A" w:rsidP="0089358A">
      <w:pPr>
        <w:pStyle w:val="a4"/>
        <w:spacing w:before="156" w:after="156"/>
        <w:ind w:firstLine="480"/>
        <w:rPr>
          <w:rFonts w:cs="宋体"/>
          <w:lang w:eastAsia="zh-CN"/>
        </w:rPr>
      </w:pPr>
      <w:r w:rsidRPr="0089358A">
        <w:rPr>
          <w:rFonts w:hint="eastAsia"/>
          <w:highlight w:val="lightGray"/>
          <w:lang w:eastAsia="zh-CN"/>
        </w:rPr>
        <w:t>美国</w:t>
      </w:r>
      <w:r>
        <w:rPr>
          <w:rFonts w:hint="eastAsia"/>
          <w:lang w:eastAsia="zh-CN"/>
        </w:rPr>
        <w:t>：</w:t>
      </w:r>
      <w:r w:rsidRPr="0089358A">
        <w:rPr>
          <w:rFonts w:cs="宋体" w:hint="eastAsia"/>
          <w:color w:val="000000"/>
          <w:lang w:eastAsia="zh-CN"/>
        </w:rPr>
        <w:t>拜登宣布两个重要金融监管职位提名人选</w:t>
      </w:r>
      <w:r>
        <w:rPr>
          <w:rFonts w:cs="宋体"/>
          <w:color w:val="000000"/>
          <w:lang w:eastAsia="zh-CN"/>
        </w:rPr>
        <w:t>。</w:t>
      </w:r>
    </w:p>
    <w:p w:rsidR="0089358A" w:rsidRDefault="0089358A" w:rsidP="0089358A">
      <w:pPr>
        <w:pStyle w:val="a4"/>
        <w:spacing w:before="156" w:after="156"/>
        <w:ind w:firstLine="480"/>
        <w:rPr>
          <w:rFonts w:cs="宋体"/>
          <w:lang w:eastAsia="zh-CN"/>
        </w:rPr>
      </w:pPr>
      <w:r w:rsidRPr="0089358A">
        <w:rPr>
          <w:rFonts w:hint="eastAsia"/>
          <w:highlight w:val="lightGray"/>
          <w:lang w:eastAsia="zh-CN"/>
        </w:rPr>
        <w:t>德国</w:t>
      </w:r>
      <w:r>
        <w:rPr>
          <w:rFonts w:hint="eastAsia"/>
          <w:lang w:eastAsia="zh-CN"/>
        </w:rPr>
        <w:t>：</w:t>
      </w:r>
      <w:r w:rsidR="008E330F" w:rsidRPr="008E330F">
        <w:rPr>
          <w:rFonts w:cs="宋体"/>
          <w:color w:val="000000"/>
          <w:lang w:eastAsia="zh-CN"/>
        </w:rPr>
        <w:t>2020年年均通胀率为0.5%</w:t>
      </w:r>
      <w:r>
        <w:rPr>
          <w:rFonts w:cs="宋体"/>
          <w:color w:val="000000"/>
          <w:lang w:eastAsia="zh-CN"/>
        </w:rPr>
        <w:t>。</w:t>
      </w:r>
    </w:p>
    <w:p w:rsidR="008E330F" w:rsidRDefault="008E330F" w:rsidP="008E330F">
      <w:pPr>
        <w:pStyle w:val="a4"/>
        <w:spacing w:before="156" w:after="156"/>
        <w:ind w:firstLine="480"/>
        <w:rPr>
          <w:rFonts w:cs="宋体"/>
          <w:lang w:eastAsia="zh-CN"/>
        </w:rPr>
      </w:pPr>
      <w:r w:rsidRPr="008E330F">
        <w:rPr>
          <w:rFonts w:hint="eastAsia"/>
          <w:highlight w:val="lightGray"/>
          <w:lang w:eastAsia="zh-CN"/>
        </w:rPr>
        <w:t>印度</w:t>
      </w:r>
      <w:r>
        <w:rPr>
          <w:rFonts w:hint="eastAsia"/>
          <w:lang w:eastAsia="zh-CN"/>
        </w:rPr>
        <w:t>：</w:t>
      </w:r>
      <w:r w:rsidRPr="008E330F">
        <w:rPr>
          <w:rFonts w:cs="宋体" w:hint="eastAsia"/>
          <w:color w:val="000000"/>
          <w:lang w:eastAsia="zh-CN"/>
        </w:rPr>
        <w:t>将对超过</w:t>
      </w:r>
      <w:r w:rsidRPr="008E330F">
        <w:rPr>
          <w:rFonts w:cs="宋体"/>
          <w:color w:val="000000"/>
          <w:lang w:eastAsia="zh-CN"/>
        </w:rPr>
        <w:t>50种进口商品提高关税</w:t>
      </w:r>
      <w:r>
        <w:rPr>
          <w:rFonts w:cs="宋体"/>
          <w:color w:val="000000"/>
          <w:lang w:eastAsia="zh-CN"/>
        </w:rPr>
        <w:t>。</w:t>
      </w:r>
    </w:p>
    <w:p w:rsidR="00425B93" w:rsidRDefault="008659C3">
      <w:pPr>
        <w:pStyle w:val="a4"/>
        <w:spacing w:before="156" w:after="156"/>
        <w:ind w:firstLine="482"/>
        <w:rPr>
          <w:b/>
          <w:bCs/>
          <w:lang w:eastAsia="zh-CN"/>
        </w:rPr>
      </w:pPr>
      <w:r>
        <w:rPr>
          <w:rFonts w:hint="eastAsia"/>
          <w:b/>
          <w:bCs/>
          <w:lang w:eastAsia="zh-CN"/>
        </w:rPr>
        <w:t>1月</w:t>
      </w:r>
      <w:r w:rsidR="008E330F">
        <w:rPr>
          <w:b/>
          <w:bCs/>
          <w:lang w:eastAsia="zh-CN"/>
        </w:rPr>
        <w:t>21</w:t>
      </w:r>
      <w:r>
        <w:rPr>
          <w:rFonts w:hint="eastAsia"/>
          <w:b/>
          <w:bCs/>
          <w:lang w:eastAsia="zh-CN"/>
        </w:rPr>
        <w:t>日</w:t>
      </w:r>
    </w:p>
    <w:p w:rsidR="008E330F" w:rsidRDefault="008E330F" w:rsidP="008E330F">
      <w:pPr>
        <w:pStyle w:val="a4"/>
        <w:spacing w:before="156" w:after="156"/>
        <w:ind w:firstLine="480"/>
        <w:rPr>
          <w:rFonts w:cs="宋体"/>
          <w:lang w:eastAsia="zh-CN"/>
        </w:rPr>
      </w:pPr>
      <w:r w:rsidRPr="0089358A">
        <w:rPr>
          <w:rFonts w:hint="eastAsia"/>
          <w:highlight w:val="lightGray"/>
          <w:lang w:eastAsia="zh-CN"/>
        </w:rPr>
        <w:t>美国</w:t>
      </w:r>
      <w:r>
        <w:rPr>
          <w:rFonts w:hint="eastAsia"/>
          <w:lang w:eastAsia="zh-CN"/>
        </w:rPr>
        <w:t>：</w:t>
      </w:r>
      <w:r w:rsidRPr="008E330F">
        <w:rPr>
          <w:rFonts w:cs="宋体" w:hint="eastAsia"/>
          <w:color w:val="000000"/>
          <w:lang w:eastAsia="zh-CN"/>
        </w:rPr>
        <w:t>总统拜登</w:t>
      </w:r>
      <w:r w:rsidRPr="008E330F">
        <w:rPr>
          <w:rFonts w:cs="宋体"/>
          <w:color w:val="000000"/>
          <w:lang w:eastAsia="zh-CN"/>
        </w:rPr>
        <w:t>20日签署行政令，美国将重新加入《巴黎协定》</w:t>
      </w:r>
      <w:r>
        <w:rPr>
          <w:rFonts w:cs="宋体"/>
          <w:color w:val="000000"/>
          <w:lang w:eastAsia="zh-CN"/>
        </w:rPr>
        <w:t>。</w:t>
      </w:r>
    </w:p>
    <w:p w:rsidR="008E330F" w:rsidRDefault="008E330F" w:rsidP="008E330F">
      <w:pPr>
        <w:pStyle w:val="a4"/>
        <w:spacing w:before="156" w:after="156"/>
        <w:ind w:firstLine="480"/>
        <w:rPr>
          <w:rFonts w:cs="宋体"/>
          <w:lang w:eastAsia="zh-CN"/>
        </w:rPr>
      </w:pPr>
      <w:r>
        <w:rPr>
          <w:rFonts w:hint="eastAsia"/>
          <w:highlight w:val="lightGray"/>
          <w:lang w:eastAsia="zh-CN"/>
        </w:rPr>
        <w:t>耶伦</w:t>
      </w:r>
      <w:r>
        <w:rPr>
          <w:rFonts w:hint="eastAsia"/>
          <w:lang w:eastAsia="zh-CN"/>
        </w:rPr>
        <w:t>：</w:t>
      </w:r>
      <w:r w:rsidRPr="008E330F">
        <w:rPr>
          <w:rFonts w:cs="宋体" w:hint="eastAsia"/>
          <w:color w:val="000000"/>
          <w:lang w:eastAsia="zh-CN"/>
        </w:rPr>
        <w:t>美国政府必须采取进一步行动增加对经济的支持</w:t>
      </w:r>
      <w:r>
        <w:rPr>
          <w:rFonts w:cs="宋体"/>
          <w:color w:val="000000"/>
          <w:lang w:eastAsia="zh-CN"/>
        </w:rPr>
        <w:t>。</w:t>
      </w:r>
    </w:p>
    <w:p w:rsidR="008E330F" w:rsidRDefault="008E330F" w:rsidP="008E330F">
      <w:pPr>
        <w:pStyle w:val="a4"/>
        <w:spacing w:before="156" w:after="156"/>
        <w:ind w:firstLine="480"/>
        <w:rPr>
          <w:rFonts w:cs="宋体"/>
          <w:lang w:eastAsia="zh-CN"/>
        </w:rPr>
      </w:pPr>
      <w:r>
        <w:rPr>
          <w:rFonts w:hint="eastAsia"/>
          <w:highlight w:val="lightGray"/>
          <w:lang w:eastAsia="zh-CN"/>
        </w:rPr>
        <w:t>加拿大</w:t>
      </w:r>
      <w:r>
        <w:rPr>
          <w:rFonts w:hint="eastAsia"/>
          <w:lang w:eastAsia="zh-CN"/>
        </w:rPr>
        <w:t>：</w:t>
      </w:r>
      <w:r w:rsidRPr="008E330F">
        <w:rPr>
          <w:rFonts w:cs="宋体" w:hint="eastAsia"/>
          <w:color w:val="000000"/>
          <w:lang w:eastAsia="zh-CN"/>
        </w:rPr>
        <w:t>央行宣布维持</w:t>
      </w:r>
      <w:r w:rsidRPr="008E330F">
        <w:rPr>
          <w:rFonts w:cs="宋体"/>
          <w:color w:val="000000"/>
          <w:lang w:eastAsia="zh-CN"/>
        </w:rPr>
        <w:t>0.25%基准利率不变</w:t>
      </w:r>
      <w:r>
        <w:rPr>
          <w:rFonts w:cs="宋体"/>
          <w:color w:val="000000"/>
          <w:lang w:eastAsia="zh-CN"/>
        </w:rPr>
        <w:t>。</w:t>
      </w:r>
    </w:p>
    <w:p w:rsidR="008E330F" w:rsidRDefault="008E330F" w:rsidP="008E330F">
      <w:pPr>
        <w:pStyle w:val="a4"/>
        <w:spacing w:before="156" w:after="156"/>
        <w:ind w:firstLine="480"/>
        <w:rPr>
          <w:rFonts w:cs="宋体"/>
          <w:lang w:eastAsia="zh-CN"/>
        </w:rPr>
      </w:pPr>
      <w:r w:rsidRPr="008E330F">
        <w:rPr>
          <w:rFonts w:hint="eastAsia"/>
          <w:highlight w:val="lightGray"/>
          <w:lang w:eastAsia="zh-CN"/>
        </w:rPr>
        <w:t>印度</w:t>
      </w:r>
      <w:r>
        <w:rPr>
          <w:rFonts w:hint="eastAsia"/>
          <w:lang w:eastAsia="zh-CN"/>
        </w:rPr>
        <w:t>：</w:t>
      </w:r>
      <w:r w:rsidRPr="008E330F">
        <w:rPr>
          <w:rFonts w:cs="宋体" w:hint="eastAsia"/>
          <w:color w:val="000000"/>
          <w:lang w:eastAsia="zh-CN"/>
        </w:rPr>
        <w:t>新财年预算或将宣布建立大型发展金融机构（</w:t>
      </w:r>
      <w:r w:rsidRPr="008E330F">
        <w:rPr>
          <w:rFonts w:cs="宋体"/>
          <w:color w:val="000000"/>
          <w:lang w:eastAsia="zh-CN"/>
        </w:rPr>
        <w:t>DFI）</w:t>
      </w:r>
      <w:r>
        <w:rPr>
          <w:rFonts w:cs="宋体"/>
          <w:color w:val="000000"/>
          <w:lang w:eastAsia="zh-CN"/>
        </w:rPr>
        <w:t>。</w:t>
      </w:r>
    </w:p>
    <w:p w:rsidR="003D3B2B" w:rsidRDefault="003D3B2B" w:rsidP="003D3B2B">
      <w:pPr>
        <w:pStyle w:val="a4"/>
        <w:spacing w:before="156" w:after="156"/>
        <w:ind w:firstLine="480"/>
        <w:rPr>
          <w:rFonts w:cs="宋体"/>
          <w:lang w:eastAsia="zh-CN"/>
        </w:rPr>
      </w:pPr>
      <w:r>
        <w:rPr>
          <w:rFonts w:hint="eastAsia"/>
          <w:highlight w:val="lightGray"/>
          <w:lang w:eastAsia="zh-CN"/>
        </w:rPr>
        <w:lastRenderedPageBreak/>
        <w:t>印度财政部</w:t>
      </w:r>
      <w:r>
        <w:rPr>
          <w:rFonts w:hint="eastAsia"/>
          <w:lang w:eastAsia="zh-CN"/>
        </w:rPr>
        <w:t>：</w:t>
      </w:r>
      <w:r w:rsidRPr="003D3B2B">
        <w:rPr>
          <w:rFonts w:cs="宋体" w:hint="eastAsia"/>
          <w:color w:val="000000"/>
          <w:lang w:eastAsia="zh-CN"/>
        </w:rPr>
        <w:t>印度经济在</w:t>
      </w:r>
      <w:r w:rsidRPr="003D3B2B">
        <w:rPr>
          <w:rFonts w:cs="宋体"/>
          <w:color w:val="000000"/>
          <w:lang w:eastAsia="zh-CN"/>
        </w:rPr>
        <w:t>2020-2021财年的下半个财年将实现“V”型复苏</w:t>
      </w:r>
      <w:r>
        <w:rPr>
          <w:rFonts w:cs="宋体"/>
          <w:color w:val="000000"/>
          <w:lang w:eastAsia="zh-CN"/>
        </w:rPr>
        <w:t>。</w:t>
      </w:r>
    </w:p>
    <w:p w:rsidR="003D3B2B" w:rsidRDefault="003D3B2B" w:rsidP="003D3B2B">
      <w:pPr>
        <w:pStyle w:val="a4"/>
        <w:spacing w:before="156" w:after="156"/>
        <w:ind w:firstLine="482"/>
        <w:rPr>
          <w:b/>
          <w:bCs/>
          <w:lang w:eastAsia="zh-CN"/>
        </w:rPr>
      </w:pPr>
      <w:r>
        <w:rPr>
          <w:rFonts w:hint="eastAsia"/>
          <w:b/>
          <w:bCs/>
          <w:lang w:eastAsia="zh-CN"/>
        </w:rPr>
        <w:t>1月</w:t>
      </w:r>
      <w:r w:rsidR="00061347">
        <w:rPr>
          <w:b/>
          <w:bCs/>
          <w:lang w:eastAsia="zh-CN"/>
        </w:rPr>
        <w:t>22</w:t>
      </w:r>
      <w:r>
        <w:rPr>
          <w:rFonts w:hint="eastAsia"/>
          <w:b/>
          <w:bCs/>
          <w:lang w:eastAsia="zh-CN"/>
        </w:rPr>
        <w:t>日</w:t>
      </w:r>
    </w:p>
    <w:p w:rsidR="008E330F" w:rsidRDefault="008E330F" w:rsidP="008E330F">
      <w:pPr>
        <w:pStyle w:val="a4"/>
        <w:spacing w:before="156" w:after="156"/>
        <w:ind w:firstLine="480"/>
        <w:rPr>
          <w:rFonts w:cs="宋体"/>
          <w:lang w:eastAsia="zh-CN"/>
        </w:rPr>
      </w:pPr>
      <w:r w:rsidRPr="0089358A">
        <w:rPr>
          <w:rFonts w:hint="eastAsia"/>
          <w:highlight w:val="lightGray"/>
          <w:lang w:eastAsia="zh-CN"/>
        </w:rPr>
        <w:t>美国</w:t>
      </w:r>
      <w:r>
        <w:rPr>
          <w:rFonts w:hint="eastAsia"/>
          <w:lang w:eastAsia="zh-CN"/>
        </w:rPr>
        <w:t>：</w:t>
      </w:r>
      <w:r w:rsidRPr="008E330F">
        <w:rPr>
          <w:rFonts w:cs="宋体" w:hint="eastAsia"/>
          <w:color w:val="000000"/>
          <w:lang w:eastAsia="zh-CN"/>
        </w:rPr>
        <w:t>拜登新政府将实施</w:t>
      </w:r>
      <w:r w:rsidRPr="008E330F">
        <w:rPr>
          <w:rFonts w:cs="宋体"/>
          <w:color w:val="000000"/>
          <w:lang w:eastAsia="zh-CN"/>
        </w:rPr>
        <w:t>10项新冠相关行政命令</w:t>
      </w:r>
      <w:r>
        <w:rPr>
          <w:rFonts w:cs="宋体"/>
          <w:color w:val="000000"/>
          <w:lang w:eastAsia="zh-CN"/>
        </w:rPr>
        <w:t>。</w:t>
      </w:r>
    </w:p>
    <w:p w:rsidR="008E330F" w:rsidRDefault="008E330F" w:rsidP="008E330F">
      <w:pPr>
        <w:pStyle w:val="a4"/>
        <w:spacing w:before="156" w:after="156"/>
        <w:ind w:firstLine="480"/>
        <w:rPr>
          <w:rFonts w:cs="宋体"/>
          <w:lang w:eastAsia="zh-CN"/>
        </w:rPr>
      </w:pPr>
      <w:r w:rsidRPr="0089358A">
        <w:rPr>
          <w:rFonts w:hint="eastAsia"/>
          <w:highlight w:val="lightGray"/>
          <w:lang w:eastAsia="zh-CN"/>
        </w:rPr>
        <w:t>美国</w:t>
      </w:r>
      <w:r>
        <w:rPr>
          <w:rFonts w:hint="eastAsia"/>
          <w:highlight w:val="lightGray"/>
          <w:lang w:eastAsia="zh-CN"/>
        </w:rPr>
        <w:t>劳工部</w:t>
      </w:r>
      <w:r>
        <w:rPr>
          <w:rFonts w:hint="eastAsia"/>
          <w:lang w:eastAsia="zh-CN"/>
        </w:rPr>
        <w:t>：</w:t>
      </w:r>
      <w:r w:rsidRPr="008E330F">
        <w:rPr>
          <w:rFonts w:cs="宋体" w:hint="eastAsia"/>
          <w:color w:val="000000"/>
          <w:lang w:eastAsia="zh-CN"/>
        </w:rPr>
        <w:t>截至</w:t>
      </w:r>
      <w:r w:rsidRPr="008E330F">
        <w:rPr>
          <w:rFonts w:cs="宋体"/>
          <w:color w:val="000000"/>
          <w:lang w:eastAsia="zh-CN"/>
        </w:rPr>
        <w:t>1月16日当周，美国首次申请失业救济人数为90万人</w:t>
      </w:r>
      <w:r>
        <w:rPr>
          <w:rFonts w:cs="宋体"/>
          <w:color w:val="000000"/>
          <w:lang w:eastAsia="zh-CN"/>
        </w:rPr>
        <w:t>。</w:t>
      </w:r>
    </w:p>
    <w:p w:rsidR="008E330F" w:rsidRDefault="008E330F" w:rsidP="008E330F">
      <w:pPr>
        <w:pStyle w:val="a4"/>
        <w:spacing w:before="156" w:after="156"/>
        <w:ind w:firstLine="480"/>
        <w:rPr>
          <w:rFonts w:cs="宋体"/>
          <w:lang w:eastAsia="zh-CN"/>
        </w:rPr>
      </w:pPr>
      <w:r>
        <w:rPr>
          <w:rFonts w:hint="eastAsia"/>
          <w:highlight w:val="lightGray"/>
          <w:lang w:eastAsia="zh-CN"/>
        </w:rPr>
        <w:t>欧洲央行</w:t>
      </w:r>
      <w:r>
        <w:rPr>
          <w:rFonts w:hint="eastAsia"/>
          <w:lang w:eastAsia="zh-CN"/>
        </w:rPr>
        <w:t>：</w:t>
      </w:r>
      <w:r w:rsidRPr="008E330F">
        <w:rPr>
          <w:rFonts w:cs="宋体" w:hint="eastAsia"/>
          <w:color w:val="000000"/>
          <w:lang w:eastAsia="zh-CN"/>
        </w:rPr>
        <w:t>维持三大关键利率不变，符合市场预期</w:t>
      </w:r>
      <w:r>
        <w:rPr>
          <w:rFonts w:cs="宋体"/>
          <w:color w:val="000000"/>
          <w:lang w:eastAsia="zh-CN"/>
        </w:rPr>
        <w:t>。</w:t>
      </w:r>
    </w:p>
    <w:p w:rsidR="008E330F" w:rsidRDefault="008E330F" w:rsidP="008E330F">
      <w:pPr>
        <w:pStyle w:val="a4"/>
        <w:spacing w:before="156" w:after="156"/>
        <w:ind w:firstLine="480"/>
        <w:rPr>
          <w:rFonts w:cs="宋体"/>
          <w:lang w:eastAsia="zh-CN"/>
        </w:rPr>
      </w:pPr>
      <w:r>
        <w:rPr>
          <w:rFonts w:hint="eastAsia"/>
          <w:highlight w:val="lightGray"/>
          <w:lang w:eastAsia="zh-CN"/>
        </w:rPr>
        <w:t>日本</w:t>
      </w:r>
      <w:r>
        <w:rPr>
          <w:rFonts w:hint="eastAsia"/>
          <w:lang w:eastAsia="zh-CN"/>
        </w:rPr>
        <w:t>：</w:t>
      </w:r>
      <w:r w:rsidRPr="008E330F">
        <w:rPr>
          <w:rFonts w:cs="宋体" w:hint="eastAsia"/>
          <w:color w:val="000000"/>
          <w:lang w:eastAsia="zh-CN"/>
        </w:rPr>
        <w:t>央行预计</w:t>
      </w:r>
      <w:r w:rsidRPr="008E330F">
        <w:rPr>
          <w:rFonts w:cs="宋体"/>
          <w:color w:val="000000"/>
          <w:lang w:eastAsia="zh-CN"/>
        </w:rPr>
        <w:t>2020财年经济将萎缩5.6%，2021财年经济将增长3.9%</w:t>
      </w:r>
      <w:r>
        <w:rPr>
          <w:rFonts w:cs="宋体"/>
          <w:color w:val="000000"/>
          <w:lang w:eastAsia="zh-CN"/>
        </w:rPr>
        <w:t>。</w:t>
      </w:r>
    </w:p>
    <w:p w:rsidR="00425B93" w:rsidRDefault="008659C3">
      <w:pPr>
        <w:pStyle w:val="1"/>
        <w:spacing w:before="156" w:after="156"/>
      </w:pPr>
      <w:bookmarkStart w:id="42" w:name="_Toc62456453"/>
      <w:r>
        <w:rPr>
          <w:rFonts w:hint="eastAsia"/>
        </w:rPr>
        <w:t>【本周关注】</w:t>
      </w:r>
      <w:bookmarkEnd w:id="40"/>
      <w:bookmarkEnd w:id="41"/>
      <w:bookmarkEnd w:id="42"/>
    </w:p>
    <w:p w:rsidR="00425B93" w:rsidRDefault="008659C3">
      <w:pPr>
        <w:pStyle w:val="a4"/>
        <w:spacing w:before="156" w:after="156"/>
        <w:ind w:firstLine="482"/>
        <w:rPr>
          <w:b/>
          <w:bCs/>
          <w:lang w:eastAsia="zh-CN"/>
        </w:rPr>
      </w:pPr>
      <w:r>
        <w:rPr>
          <w:rFonts w:hint="eastAsia"/>
          <w:b/>
          <w:bCs/>
          <w:lang w:eastAsia="zh-CN"/>
        </w:rPr>
        <w:t>1月</w:t>
      </w:r>
      <w:r w:rsidR="008E330F">
        <w:rPr>
          <w:b/>
          <w:bCs/>
          <w:lang w:eastAsia="zh-CN"/>
        </w:rPr>
        <w:t>25</w:t>
      </w:r>
      <w:r>
        <w:rPr>
          <w:rFonts w:hint="eastAsia"/>
          <w:b/>
          <w:bCs/>
          <w:lang w:eastAsia="zh-CN"/>
        </w:rPr>
        <w:t>日</w:t>
      </w:r>
    </w:p>
    <w:p w:rsidR="008E330F" w:rsidRDefault="008E330F">
      <w:pPr>
        <w:pStyle w:val="a4"/>
        <w:spacing w:before="156" w:after="156"/>
        <w:ind w:firstLine="480"/>
        <w:rPr>
          <w:lang w:eastAsia="zh-CN"/>
        </w:rPr>
      </w:pPr>
      <w:r w:rsidRPr="008E330F">
        <w:rPr>
          <w:rFonts w:hint="eastAsia"/>
          <w:lang w:eastAsia="zh-CN"/>
        </w:rPr>
        <w:t>德国</w:t>
      </w:r>
      <w:r w:rsidRPr="008E330F">
        <w:rPr>
          <w:lang w:eastAsia="zh-CN"/>
        </w:rPr>
        <w:t>1月IFO商业景气指数</w:t>
      </w:r>
    </w:p>
    <w:p w:rsidR="00425B93" w:rsidRDefault="008659C3">
      <w:pPr>
        <w:pStyle w:val="a4"/>
        <w:spacing w:before="156" w:after="156"/>
        <w:ind w:firstLine="482"/>
        <w:rPr>
          <w:b/>
          <w:bCs/>
          <w:lang w:eastAsia="zh-CN"/>
        </w:rPr>
      </w:pPr>
      <w:r>
        <w:rPr>
          <w:rFonts w:hint="eastAsia"/>
          <w:b/>
          <w:bCs/>
          <w:lang w:eastAsia="zh-CN"/>
        </w:rPr>
        <w:t>1月</w:t>
      </w:r>
      <w:r w:rsidR="008E330F">
        <w:rPr>
          <w:b/>
          <w:bCs/>
          <w:lang w:eastAsia="zh-CN"/>
        </w:rPr>
        <w:t>26</w:t>
      </w:r>
      <w:r>
        <w:rPr>
          <w:rFonts w:hint="eastAsia"/>
          <w:b/>
          <w:bCs/>
          <w:lang w:eastAsia="zh-CN"/>
        </w:rPr>
        <w:t>日</w:t>
      </w:r>
    </w:p>
    <w:p w:rsidR="008E330F" w:rsidRDefault="008E330F">
      <w:pPr>
        <w:pStyle w:val="a4"/>
        <w:spacing w:before="156" w:after="156"/>
        <w:ind w:firstLine="480"/>
        <w:rPr>
          <w:lang w:eastAsia="zh-CN"/>
        </w:rPr>
      </w:pPr>
      <w:r w:rsidRPr="008E330F">
        <w:rPr>
          <w:rFonts w:hint="eastAsia"/>
          <w:lang w:eastAsia="zh-CN"/>
        </w:rPr>
        <w:t>英国</w:t>
      </w:r>
      <w:r w:rsidRPr="008E330F">
        <w:rPr>
          <w:lang w:eastAsia="zh-CN"/>
        </w:rPr>
        <w:t>11月三个月ILO失业率(%)</w:t>
      </w:r>
    </w:p>
    <w:p w:rsidR="008E330F" w:rsidRDefault="008E330F">
      <w:pPr>
        <w:pStyle w:val="a4"/>
        <w:spacing w:before="156" w:after="156"/>
        <w:ind w:firstLine="480"/>
        <w:rPr>
          <w:lang w:eastAsia="zh-CN"/>
        </w:rPr>
      </w:pPr>
      <w:r w:rsidRPr="008E330F">
        <w:rPr>
          <w:rFonts w:hint="eastAsia"/>
          <w:lang w:eastAsia="zh-CN"/>
        </w:rPr>
        <w:t>英国</w:t>
      </w:r>
      <w:r w:rsidRPr="008E330F">
        <w:rPr>
          <w:lang w:eastAsia="zh-CN"/>
        </w:rPr>
        <w:t>12月失业率(%)</w:t>
      </w:r>
    </w:p>
    <w:p w:rsidR="008E330F" w:rsidRDefault="008E330F">
      <w:pPr>
        <w:pStyle w:val="a4"/>
        <w:spacing w:before="156" w:after="156"/>
        <w:ind w:firstLine="480"/>
        <w:rPr>
          <w:lang w:eastAsia="zh-CN"/>
        </w:rPr>
      </w:pPr>
      <w:r w:rsidRPr="008E330F">
        <w:rPr>
          <w:rFonts w:hint="eastAsia"/>
          <w:lang w:eastAsia="zh-CN"/>
        </w:rPr>
        <w:t>英国</w:t>
      </w:r>
      <w:r w:rsidRPr="008E330F">
        <w:rPr>
          <w:lang w:eastAsia="zh-CN"/>
        </w:rPr>
        <w:t>1月CBI零售销售差值</w:t>
      </w:r>
    </w:p>
    <w:p w:rsidR="008E330F" w:rsidRDefault="008E330F">
      <w:pPr>
        <w:pStyle w:val="a4"/>
        <w:spacing w:before="156" w:after="156"/>
        <w:ind w:firstLine="480"/>
        <w:rPr>
          <w:lang w:eastAsia="zh-CN"/>
        </w:rPr>
      </w:pPr>
      <w:r w:rsidRPr="008E330F">
        <w:rPr>
          <w:rFonts w:hint="eastAsia"/>
          <w:lang w:eastAsia="zh-CN"/>
        </w:rPr>
        <w:t>美国</w:t>
      </w:r>
      <w:r w:rsidRPr="008E330F">
        <w:rPr>
          <w:lang w:eastAsia="zh-CN"/>
        </w:rPr>
        <w:t>11月FHFA房价指数月率(%)</w:t>
      </w:r>
    </w:p>
    <w:p w:rsidR="008E330F" w:rsidRDefault="008E330F">
      <w:pPr>
        <w:pStyle w:val="a4"/>
        <w:spacing w:before="156" w:after="156"/>
        <w:ind w:firstLine="480"/>
        <w:rPr>
          <w:lang w:eastAsia="zh-CN"/>
        </w:rPr>
      </w:pPr>
      <w:r w:rsidRPr="008E330F">
        <w:rPr>
          <w:rFonts w:hint="eastAsia"/>
          <w:lang w:eastAsia="zh-CN"/>
        </w:rPr>
        <w:t>美国</w:t>
      </w:r>
      <w:r w:rsidRPr="008E330F">
        <w:rPr>
          <w:lang w:eastAsia="zh-CN"/>
        </w:rPr>
        <w:t>1月谘商会消费者信心指数</w:t>
      </w:r>
    </w:p>
    <w:p w:rsidR="00425B93" w:rsidRDefault="008659C3">
      <w:pPr>
        <w:pStyle w:val="a4"/>
        <w:spacing w:before="156" w:after="156"/>
        <w:ind w:firstLine="482"/>
        <w:rPr>
          <w:b/>
          <w:bCs/>
          <w:lang w:eastAsia="zh-CN"/>
        </w:rPr>
      </w:pPr>
      <w:r>
        <w:rPr>
          <w:rFonts w:hint="eastAsia"/>
          <w:b/>
          <w:bCs/>
          <w:lang w:eastAsia="zh-CN"/>
        </w:rPr>
        <w:t>1月</w:t>
      </w:r>
      <w:r w:rsidR="00C506BE">
        <w:rPr>
          <w:b/>
          <w:bCs/>
          <w:lang w:eastAsia="zh-CN"/>
        </w:rPr>
        <w:t>27</w:t>
      </w:r>
      <w:r>
        <w:rPr>
          <w:rFonts w:hint="eastAsia"/>
          <w:b/>
          <w:bCs/>
          <w:lang w:eastAsia="zh-CN"/>
        </w:rPr>
        <w:t>日</w:t>
      </w:r>
    </w:p>
    <w:p w:rsidR="00C506BE" w:rsidRDefault="00C506BE">
      <w:pPr>
        <w:pStyle w:val="a4"/>
        <w:spacing w:before="156" w:after="156"/>
        <w:ind w:firstLine="480"/>
        <w:rPr>
          <w:lang w:eastAsia="zh-CN"/>
        </w:rPr>
      </w:pPr>
      <w:r w:rsidRPr="00C506BE">
        <w:rPr>
          <w:rFonts w:hint="eastAsia"/>
          <w:lang w:eastAsia="zh-CN"/>
        </w:rPr>
        <w:t>美国截至</w:t>
      </w:r>
      <w:r w:rsidRPr="00C506BE">
        <w:rPr>
          <w:lang w:eastAsia="zh-CN"/>
        </w:rPr>
        <w:t>1月22日当周API原油库存变动(万桶)</w:t>
      </w:r>
    </w:p>
    <w:p w:rsidR="00C506BE" w:rsidRDefault="00C506BE">
      <w:pPr>
        <w:pStyle w:val="a4"/>
        <w:spacing w:before="156" w:after="156"/>
        <w:ind w:firstLine="480"/>
        <w:rPr>
          <w:lang w:eastAsia="zh-CN"/>
        </w:rPr>
      </w:pPr>
      <w:r w:rsidRPr="00C506BE">
        <w:rPr>
          <w:rFonts w:hint="eastAsia"/>
          <w:lang w:eastAsia="zh-CN"/>
        </w:rPr>
        <w:t>美国截至</w:t>
      </w:r>
      <w:r w:rsidRPr="00C506BE">
        <w:rPr>
          <w:lang w:eastAsia="zh-CN"/>
        </w:rPr>
        <w:t>1月22日当周API汽油库存变动(万桶)</w:t>
      </w:r>
    </w:p>
    <w:p w:rsidR="00C506BE" w:rsidRDefault="00C506BE">
      <w:pPr>
        <w:pStyle w:val="a4"/>
        <w:spacing w:before="156" w:after="156"/>
        <w:ind w:firstLine="480"/>
        <w:rPr>
          <w:lang w:eastAsia="zh-CN"/>
        </w:rPr>
      </w:pPr>
      <w:r w:rsidRPr="00C506BE">
        <w:rPr>
          <w:rFonts w:hint="eastAsia"/>
          <w:lang w:eastAsia="zh-CN"/>
        </w:rPr>
        <w:t>澳大利亚第四季度</w:t>
      </w:r>
      <w:r w:rsidRPr="00C506BE">
        <w:rPr>
          <w:lang w:eastAsia="zh-CN"/>
        </w:rPr>
        <w:t>CPI年率(%)</w:t>
      </w:r>
    </w:p>
    <w:p w:rsidR="00C506BE" w:rsidRDefault="00C506BE">
      <w:pPr>
        <w:pStyle w:val="a4"/>
        <w:spacing w:before="156" w:after="156"/>
        <w:ind w:firstLine="480"/>
        <w:rPr>
          <w:lang w:eastAsia="zh-CN"/>
        </w:rPr>
      </w:pPr>
      <w:r w:rsidRPr="00C506BE">
        <w:rPr>
          <w:rFonts w:hint="eastAsia"/>
          <w:lang w:eastAsia="zh-CN"/>
        </w:rPr>
        <w:t>澳大利亚第四季度</w:t>
      </w:r>
      <w:r w:rsidRPr="00C506BE">
        <w:rPr>
          <w:lang w:eastAsia="zh-CN"/>
        </w:rPr>
        <w:t>CPI季率(%)</w:t>
      </w:r>
    </w:p>
    <w:p w:rsidR="00C506BE" w:rsidRDefault="00C506BE">
      <w:pPr>
        <w:pStyle w:val="a4"/>
        <w:spacing w:before="156" w:after="156"/>
        <w:ind w:firstLine="480"/>
        <w:rPr>
          <w:lang w:eastAsia="zh-CN"/>
        </w:rPr>
      </w:pPr>
      <w:r w:rsidRPr="00C506BE">
        <w:rPr>
          <w:rFonts w:hint="eastAsia"/>
          <w:lang w:eastAsia="zh-CN"/>
        </w:rPr>
        <w:t>中国</w:t>
      </w:r>
      <w:r w:rsidRPr="00C506BE">
        <w:rPr>
          <w:lang w:eastAsia="zh-CN"/>
        </w:rPr>
        <w:t>12月规模以上工业企业利润年率-单月(%)</w:t>
      </w:r>
    </w:p>
    <w:p w:rsidR="00C506BE" w:rsidRDefault="00C506BE">
      <w:pPr>
        <w:pStyle w:val="a4"/>
        <w:spacing w:before="156" w:after="156"/>
        <w:ind w:firstLine="480"/>
        <w:rPr>
          <w:lang w:eastAsia="zh-CN"/>
        </w:rPr>
      </w:pPr>
      <w:r w:rsidRPr="00C506BE">
        <w:rPr>
          <w:rFonts w:hint="eastAsia"/>
          <w:lang w:eastAsia="zh-CN"/>
        </w:rPr>
        <w:t>德国</w:t>
      </w:r>
      <w:r w:rsidRPr="00C506BE">
        <w:rPr>
          <w:lang w:eastAsia="zh-CN"/>
        </w:rPr>
        <w:t>12月实际零售销售月率(%)(1/27-2/2)</w:t>
      </w:r>
    </w:p>
    <w:p w:rsidR="00C506BE" w:rsidRDefault="003444E6">
      <w:pPr>
        <w:pStyle w:val="a4"/>
        <w:spacing w:before="156" w:after="156"/>
        <w:ind w:firstLine="480"/>
        <w:rPr>
          <w:lang w:eastAsia="zh-CN"/>
        </w:rPr>
      </w:pPr>
      <w:r w:rsidRPr="003444E6">
        <w:rPr>
          <w:rFonts w:hint="eastAsia"/>
          <w:lang w:eastAsia="zh-CN"/>
        </w:rPr>
        <w:t>德国</w:t>
      </w:r>
      <w:r w:rsidRPr="003444E6">
        <w:rPr>
          <w:lang w:eastAsia="zh-CN"/>
        </w:rPr>
        <w:t>12月实际零售销售年率(%)(1/27-2/2)</w:t>
      </w:r>
    </w:p>
    <w:p w:rsidR="003444E6" w:rsidRDefault="003444E6">
      <w:pPr>
        <w:pStyle w:val="a4"/>
        <w:spacing w:before="156" w:after="156"/>
        <w:ind w:firstLine="480"/>
        <w:rPr>
          <w:lang w:eastAsia="zh-CN"/>
        </w:rPr>
      </w:pPr>
      <w:r w:rsidRPr="003444E6">
        <w:rPr>
          <w:lang w:eastAsia="zh-CN"/>
        </w:rPr>
        <w:lastRenderedPageBreak/>
        <w:t>德国2月Gfk消费者信心指数</w:t>
      </w:r>
    </w:p>
    <w:p w:rsidR="003444E6" w:rsidRDefault="003444E6">
      <w:pPr>
        <w:pStyle w:val="a4"/>
        <w:spacing w:before="156" w:after="156"/>
        <w:ind w:firstLine="480"/>
        <w:rPr>
          <w:lang w:eastAsia="zh-CN"/>
        </w:rPr>
      </w:pPr>
      <w:r w:rsidRPr="003444E6">
        <w:rPr>
          <w:rFonts w:hint="eastAsia"/>
          <w:lang w:eastAsia="zh-CN"/>
        </w:rPr>
        <w:t>瑞士</w:t>
      </w:r>
      <w:r w:rsidRPr="003444E6">
        <w:rPr>
          <w:lang w:eastAsia="zh-CN"/>
        </w:rPr>
        <w:t>1月瑞信/CFA经济预期指数</w:t>
      </w:r>
    </w:p>
    <w:p w:rsidR="003444E6" w:rsidRDefault="003444E6">
      <w:pPr>
        <w:pStyle w:val="a4"/>
        <w:spacing w:before="156" w:after="156"/>
        <w:ind w:firstLine="480"/>
        <w:rPr>
          <w:lang w:eastAsia="zh-CN"/>
        </w:rPr>
      </w:pPr>
      <w:r w:rsidRPr="003444E6">
        <w:rPr>
          <w:rFonts w:hint="eastAsia"/>
          <w:lang w:eastAsia="zh-CN"/>
        </w:rPr>
        <w:t>美国</w:t>
      </w:r>
      <w:r w:rsidRPr="003444E6">
        <w:rPr>
          <w:lang w:eastAsia="zh-CN"/>
        </w:rPr>
        <w:t>12月耐用品订单月率初值(%)</w:t>
      </w:r>
    </w:p>
    <w:p w:rsidR="003444E6" w:rsidRDefault="003444E6">
      <w:pPr>
        <w:pStyle w:val="a4"/>
        <w:spacing w:before="156" w:after="156"/>
        <w:ind w:firstLine="480"/>
        <w:rPr>
          <w:lang w:eastAsia="zh-CN"/>
        </w:rPr>
      </w:pPr>
      <w:r w:rsidRPr="003444E6">
        <w:rPr>
          <w:rFonts w:hint="eastAsia"/>
          <w:lang w:eastAsia="zh-CN"/>
        </w:rPr>
        <w:t>美国截至</w:t>
      </w:r>
      <w:r w:rsidRPr="003444E6">
        <w:rPr>
          <w:lang w:eastAsia="zh-CN"/>
        </w:rPr>
        <w:t>1月22日当周EIA原油库存变动(万桶)</w:t>
      </w:r>
    </w:p>
    <w:p w:rsidR="003444E6" w:rsidRDefault="003444E6">
      <w:pPr>
        <w:pStyle w:val="a4"/>
        <w:spacing w:before="156" w:after="156"/>
        <w:ind w:firstLine="480"/>
        <w:rPr>
          <w:lang w:eastAsia="zh-CN"/>
        </w:rPr>
      </w:pPr>
      <w:r w:rsidRPr="003444E6">
        <w:rPr>
          <w:rFonts w:hint="eastAsia"/>
          <w:lang w:eastAsia="zh-CN"/>
        </w:rPr>
        <w:t>美国截至</w:t>
      </w:r>
      <w:r w:rsidRPr="003444E6">
        <w:rPr>
          <w:lang w:eastAsia="zh-CN"/>
        </w:rPr>
        <w:t>1月22日当周EIA精炼油库存变动(万桶)</w:t>
      </w:r>
    </w:p>
    <w:p w:rsidR="003444E6" w:rsidRPr="003444E6" w:rsidRDefault="003444E6">
      <w:pPr>
        <w:pStyle w:val="a4"/>
        <w:spacing w:before="156" w:after="156"/>
        <w:ind w:firstLine="480"/>
        <w:rPr>
          <w:lang w:eastAsia="zh-CN"/>
        </w:rPr>
      </w:pPr>
      <w:r w:rsidRPr="003444E6">
        <w:rPr>
          <w:rFonts w:hint="eastAsia"/>
          <w:lang w:eastAsia="zh-CN"/>
        </w:rPr>
        <w:t>美国截至</w:t>
      </w:r>
      <w:r w:rsidRPr="003444E6">
        <w:rPr>
          <w:lang w:eastAsia="zh-CN"/>
        </w:rPr>
        <w:t>1月22日当周EIA汽油库存变动(万桶)</w:t>
      </w:r>
    </w:p>
    <w:p w:rsidR="00425B93" w:rsidRDefault="008659C3">
      <w:pPr>
        <w:pStyle w:val="a4"/>
        <w:spacing w:before="156" w:after="156"/>
        <w:ind w:firstLine="482"/>
        <w:rPr>
          <w:b/>
          <w:bCs/>
          <w:lang w:eastAsia="zh-CN"/>
        </w:rPr>
      </w:pPr>
      <w:r>
        <w:rPr>
          <w:rFonts w:hint="eastAsia"/>
          <w:b/>
          <w:bCs/>
          <w:lang w:eastAsia="zh-CN"/>
        </w:rPr>
        <w:t>1月</w:t>
      </w:r>
      <w:r w:rsidR="003444E6">
        <w:rPr>
          <w:b/>
          <w:bCs/>
          <w:lang w:eastAsia="zh-CN"/>
        </w:rPr>
        <w:t>28</w:t>
      </w:r>
      <w:r>
        <w:rPr>
          <w:rFonts w:hint="eastAsia"/>
          <w:b/>
          <w:bCs/>
          <w:lang w:eastAsia="zh-CN"/>
        </w:rPr>
        <w:t>日</w:t>
      </w:r>
    </w:p>
    <w:p w:rsidR="003444E6" w:rsidRDefault="003444E6">
      <w:pPr>
        <w:pStyle w:val="a4"/>
        <w:spacing w:before="156" w:after="156"/>
        <w:ind w:firstLine="480"/>
        <w:rPr>
          <w:lang w:eastAsia="zh-CN"/>
        </w:rPr>
      </w:pPr>
      <w:r w:rsidRPr="003444E6">
        <w:rPr>
          <w:rFonts w:hint="eastAsia"/>
          <w:lang w:eastAsia="zh-CN"/>
        </w:rPr>
        <w:t>美国</w:t>
      </w:r>
      <w:r w:rsidRPr="003444E6">
        <w:rPr>
          <w:lang w:eastAsia="zh-CN"/>
        </w:rPr>
        <w:t>1月联邦基金利率目标上限(%)</w:t>
      </w:r>
    </w:p>
    <w:p w:rsidR="003444E6" w:rsidRDefault="003444E6">
      <w:pPr>
        <w:pStyle w:val="a4"/>
        <w:spacing w:before="156" w:after="156"/>
        <w:ind w:firstLine="480"/>
        <w:rPr>
          <w:lang w:eastAsia="zh-CN"/>
        </w:rPr>
      </w:pPr>
      <w:r w:rsidRPr="003444E6">
        <w:rPr>
          <w:rFonts w:hint="eastAsia"/>
          <w:lang w:eastAsia="zh-CN"/>
        </w:rPr>
        <w:t>美国</w:t>
      </w:r>
      <w:r w:rsidRPr="003444E6">
        <w:rPr>
          <w:lang w:eastAsia="zh-CN"/>
        </w:rPr>
        <w:t>1月联邦基金利率目标下限(%)</w:t>
      </w:r>
    </w:p>
    <w:p w:rsidR="003444E6" w:rsidRDefault="003444E6">
      <w:pPr>
        <w:pStyle w:val="a4"/>
        <w:spacing w:before="156" w:after="156"/>
        <w:ind w:firstLine="480"/>
        <w:rPr>
          <w:lang w:eastAsia="zh-CN"/>
        </w:rPr>
      </w:pPr>
      <w:r w:rsidRPr="003444E6">
        <w:rPr>
          <w:rFonts w:hint="eastAsia"/>
          <w:lang w:eastAsia="zh-CN"/>
        </w:rPr>
        <w:t>新西兰</w:t>
      </w:r>
      <w:r w:rsidRPr="003444E6">
        <w:rPr>
          <w:lang w:eastAsia="zh-CN"/>
        </w:rPr>
        <w:t>12月贸易帐(亿纽元)</w:t>
      </w:r>
    </w:p>
    <w:p w:rsidR="003444E6" w:rsidRDefault="003444E6">
      <w:pPr>
        <w:pStyle w:val="a4"/>
        <w:spacing w:before="156" w:after="156"/>
        <w:ind w:firstLine="480"/>
        <w:rPr>
          <w:lang w:eastAsia="zh-CN"/>
        </w:rPr>
      </w:pPr>
      <w:r w:rsidRPr="003444E6">
        <w:rPr>
          <w:rFonts w:hint="eastAsia"/>
          <w:lang w:eastAsia="zh-CN"/>
        </w:rPr>
        <w:t>欧元区</w:t>
      </w:r>
      <w:r w:rsidRPr="003444E6">
        <w:rPr>
          <w:lang w:eastAsia="zh-CN"/>
        </w:rPr>
        <w:t>1月消费者信心指数终值</w:t>
      </w:r>
    </w:p>
    <w:p w:rsidR="003444E6" w:rsidRDefault="003444E6">
      <w:pPr>
        <w:pStyle w:val="a4"/>
        <w:spacing w:before="156" w:after="156"/>
        <w:ind w:firstLine="480"/>
        <w:rPr>
          <w:lang w:eastAsia="zh-CN"/>
        </w:rPr>
      </w:pPr>
      <w:r w:rsidRPr="003444E6">
        <w:rPr>
          <w:lang w:eastAsia="zh-CN"/>
        </w:rPr>
        <w:t>欧元区1月经济景气指数</w:t>
      </w:r>
    </w:p>
    <w:p w:rsidR="003444E6" w:rsidRDefault="003444E6">
      <w:pPr>
        <w:pStyle w:val="a4"/>
        <w:spacing w:before="156" w:after="156"/>
        <w:ind w:firstLine="480"/>
        <w:rPr>
          <w:lang w:eastAsia="zh-CN"/>
        </w:rPr>
      </w:pPr>
      <w:r w:rsidRPr="003444E6">
        <w:rPr>
          <w:rFonts w:hint="eastAsia"/>
          <w:lang w:eastAsia="zh-CN"/>
        </w:rPr>
        <w:t>欧元区</w:t>
      </w:r>
      <w:r w:rsidRPr="003444E6">
        <w:rPr>
          <w:lang w:eastAsia="zh-CN"/>
        </w:rPr>
        <w:t>1月工业景气指数</w:t>
      </w:r>
    </w:p>
    <w:p w:rsidR="003444E6" w:rsidRDefault="003444E6">
      <w:pPr>
        <w:pStyle w:val="a4"/>
        <w:spacing w:before="156" w:after="156"/>
        <w:ind w:firstLine="480"/>
        <w:rPr>
          <w:lang w:eastAsia="zh-CN"/>
        </w:rPr>
      </w:pPr>
      <w:r w:rsidRPr="003444E6">
        <w:rPr>
          <w:rFonts w:hint="eastAsia"/>
          <w:lang w:eastAsia="zh-CN"/>
        </w:rPr>
        <w:t>德国</w:t>
      </w:r>
      <w:r w:rsidRPr="003444E6">
        <w:rPr>
          <w:lang w:eastAsia="zh-CN"/>
        </w:rPr>
        <w:t>1月CPI年率初值(%)</w:t>
      </w:r>
    </w:p>
    <w:p w:rsidR="003444E6" w:rsidRDefault="003444E6">
      <w:pPr>
        <w:pStyle w:val="a4"/>
        <w:spacing w:before="156" w:after="156"/>
        <w:ind w:firstLine="480"/>
        <w:rPr>
          <w:lang w:eastAsia="zh-CN"/>
        </w:rPr>
      </w:pPr>
      <w:r w:rsidRPr="003444E6">
        <w:rPr>
          <w:rFonts w:hint="eastAsia"/>
          <w:lang w:eastAsia="zh-CN"/>
        </w:rPr>
        <w:t>美国第四季度实际</w:t>
      </w:r>
      <w:r w:rsidRPr="003444E6">
        <w:rPr>
          <w:lang w:eastAsia="zh-CN"/>
        </w:rPr>
        <w:t>GDP年化季率初值(%)</w:t>
      </w:r>
    </w:p>
    <w:p w:rsidR="003444E6" w:rsidRDefault="003444E6">
      <w:pPr>
        <w:pStyle w:val="a4"/>
        <w:spacing w:before="156" w:after="156"/>
        <w:ind w:firstLine="480"/>
        <w:rPr>
          <w:lang w:eastAsia="zh-CN"/>
        </w:rPr>
      </w:pPr>
      <w:r w:rsidRPr="003444E6">
        <w:rPr>
          <w:rFonts w:hint="eastAsia"/>
          <w:lang w:eastAsia="zh-CN"/>
        </w:rPr>
        <w:t>美国第四季度消费者支出年化季率初值</w:t>
      </w:r>
      <w:r w:rsidRPr="003444E6">
        <w:rPr>
          <w:lang w:eastAsia="zh-CN"/>
        </w:rPr>
        <w:t>(%)</w:t>
      </w:r>
    </w:p>
    <w:p w:rsidR="003444E6" w:rsidRDefault="003444E6">
      <w:pPr>
        <w:pStyle w:val="a4"/>
        <w:spacing w:before="156" w:after="156"/>
        <w:ind w:firstLine="480"/>
        <w:rPr>
          <w:lang w:eastAsia="zh-CN"/>
        </w:rPr>
      </w:pPr>
      <w:r w:rsidRPr="003444E6">
        <w:rPr>
          <w:rFonts w:hint="eastAsia"/>
          <w:lang w:eastAsia="zh-CN"/>
        </w:rPr>
        <w:t>美国第四季度</w:t>
      </w:r>
      <w:r w:rsidRPr="003444E6">
        <w:rPr>
          <w:lang w:eastAsia="zh-CN"/>
        </w:rPr>
        <w:t>GDP平减指数初值(%)</w:t>
      </w:r>
    </w:p>
    <w:p w:rsidR="003444E6" w:rsidRDefault="003444E6">
      <w:pPr>
        <w:pStyle w:val="a4"/>
        <w:spacing w:before="156" w:after="156"/>
        <w:ind w:firstLine="480"/>
        <w:rPr>
          <w:lang w:eastAsia="zh-CN"/>
        </w:rPr>
      </w:pPr>
      <w:r w:rsidRPr="003444E6">
        <w:rPr>
          <w:rFonts w:hint="eastAsia"/>
          <w:lang w:eastAsia="zh-CN"/>
        </w:rPr>
        <w:t>美国第四季度核心</w:t>
      </w:r>
      <w:r w:rsidRPr="003444E6">
        <w:rPr>
          <w:lang w:eastAsia="zh-CN"/>
        </w:rPr>
        <w:t>PCE物价指数年化季率(%)</w:t>
      </w:r>
    </w:p>
    <w:p w:rsidR="003444E6" w:rsidRDefault="003444E6">
      <w:pPr>
        <w:pStyle w:val="a4"/>
        <w:spacing w:before="156" w:after="156"/>
        <w:ind w:firstLine="480"/>
        <w:rPr>
          <w:lang w:eastAsia="zh-CN"/>
        </w:rPr>
      </w:pPr>
      <w:r w:rsidRPr="003444E6">
        <w:rPr>
          <w:rFonts w:hint="eastAsia"/>
          <w:lang w:eastAsia="zh-CN"/>
        </w:rPr>
        <w:t>美国截至</w:t>
      </w:r>
      <w:r w:rsidRPr="003444E6">
        <w:rPr>
          <w:lang w:eastAsia="zh-CN"/>
        </w:rPr>
        <w:t>1月23日当周初请失业金人数(万)</w:t>
      </w:r>
    </w:p>
    <w:p w:rsidR="003444E6" w:rsidRDefault="003444E6">
      <w:pPr>
        <w:pStyle w:val="a4"/>
        <w:spacing w:before="156" w:after="156"/>
        <w:ind w:firstLine="480"/>
        <w:rPr>
          <w:lang w:eastAsia="zh-CN"/>
        </w:rPr>
      </w:pPr>
      <w:r w:rsidRPr="003444E6">
        <w:rPr>
          <w:rFonts w:hint="eastAsia"/>
          <w:lang w:eastAsia="zh-CN"/>
        </w:rPr>
        <w:t>美国截至</w:t>
      </w:r>
      <w:r w:rsidRPr="003444E6">
        <w:rPr>
          <w:lang w:eastAsia="zh-CN"/>
        </w:rPr>
        <w:t>1月16日当周续请失业金人数(万)</w:t>
      </w:r>
    </w:p>
    <w:p w:rsidR="003444E6" w:rsidRDefault="003444E6">
      <w:pPr>
        <w:pStyle w:val="a4"/>
        <w:spacing w:before="156" w:after="156"/>
        <w:ind w:firstLine="480"/>
        <w:rPr>
          <w:lang w:eastAsia="zh-CN"/>
        </w:rPr>
      </w:pPr>
      <w:r w:rsidRPr="003444E6">
        <w:rPr>
          <w:rFonts w:hint="eastAsia"/>
          <w:lang w:eastAsia="zh-CN"/>
        </w:rPr>
        <w:t>美国</w:t>
      </w:r>
      <w:r w:rsidRPr="003444E6">
        <w:rPr>
          <w:lang w:eastAsia="zh-CN"/>
        </w:rPr>
        <w:t>12月批发库存月率初值(%)</w:t>
      </w:r>
    </w:p>
    <w:p w:rsidR="003444E6" w:rsidRDefault="003444E6">
      <w:pPr>
        <w:pStyle w:val="a4"/>
        <w:spacing w:before="156" w:after="156"/>
        <w:ind w:firstLine="480"/>
        <w:rPr>
          <w:lang w:eastAsia="zh-CN"/>
        </w:rPr>
      </w:pPr>
      <w:r w:rsidRPr="003444E6">
        <w:rPr>
          <w:rFonts w:hint="eastAsia"/>
          <w:lang w:eastAsia="zh-CN"/>
        </w:rPr>
        <w:t>美国</w:t>
      </w:r>
      <w:r w:rsidRPr="003444E6">
        <w:rPr>
          <w:lang w:eastAsia="zh-CN"/>
        </w:rPr>
        <w:t>12月季调后新屋销售年化总数(万户)</w:t>
      </w:r>
    </w:p>
    <w:p w:rsidR="00425B93" w:rsidRDefault="008659C3">
      <w:pPr>
        <w:pStyle w:val="a4"/>
        <w:spacing w:before="156" w:after="156"/>
        <w:ind w:firstLine="482"/>
        <w:rPr>
          <w:lang w:eastAsia="zh-CN"/>
        </w:rPr>
      </w:pPr>
      <w:r>
        <w:rPr>
          <w:rFonts w:hint="eastAsia"/>
          <w:b/>
          <w:bCs/>
          <w:lang w:eastAsia="zh-CN"/>
        </w:rPr>
        <w:t>1月</w:t>
      </w:r>
      <w:r w:rsidR="003444E6">
        <w:rPr>
          <w:b/>
          <w:bCs/>
          <w:lang w:eastAsia="zh-CN"/>
        </w:rPr>
        <w:t>29</w:t>
      </w:r>
      <w:r>
        <w:rPr>
          <w:rFonts w:hint="eastAsia"/>
          <w:b/>
          <w:bCs/>
          <w:lang w:eastAsia="zh-CN"/>
        </w:rPr>
        <w:t>日</w:t>
      </w:r>
    </w:p>
    <w:p w:rsidR="003444E6" w:rsidRDefault="003444E6">
      <w:pPr>
        <w:pStyle w:val="a4"/>
        <w:spacing w:before="156" w:after="156"/>
        <w:ind w:firstLine="480"/>
        <w:rPr>
          <w:lang w:eastAsia="zh-CN"/>
        </w:rPr>
      </w:pPr>
      <w:r w:rsidRPr="003444E6">
        <w:rPr>
          <w:lang w:eastAsia="zh-CN"/>
        </w:rPr>
        <w:lastRenderedPageBreak/>
        <w:t>日本12月失业率(%)</w:t>
      </w:r>
    </w:p>
    <w:p w:rsidR="003444E6" w:rsidRDefault="003444E6">
      <w:pPr>
        <w:pStyle w:val="a4"/>
        <w:spacing w:before="156" w:after="156"/>
        <w:ind w:firstLine="480"/>
        <w:rPr>
          <w:lang w:eastAsia="zh-CN"/>
        </w:rPr>
      </w:pPr>
      <w:r w:rsidRPr="003444E6">
        <w:rPr>
          <w:rFonts w:hint="eastAsia"/>
          <w:lang w:eastAsia="zh-CN"/>
        </w:rPr>
        <w:t>日本</w:t>
      </w:r>
      <w:r w:rsidRPr="003444E6">
        <w:rPr>
          <w:lang w:eastAsia="zh-CN"/>
        </w:rPr>
        <w:t>1月东京CPI年率(%)</w:t>
      </w:r>
    </w:p>
    <w:p w:rsidR="003444E6" w:rsidRDefault="003444E6">
      <w:pPr>
        <w:pStyle w:val="a4"/>
        <w:spacing w:before="156" w:after="156"/>
        <w:ind w:firstLine="480"/>
        <w:rPr>
          <w:lang w:eastAsia="zh-CN"/>
        </w:rPr>
      </w:pPr>
      <w:r w:rsidRPr="003444E6">
        <w:rPr>
          <w:rFonts w:hint="eastAsia"/>
          <w:lang w:eastAsia="zh-CN"/>
        </w:rPr>
        <w:t>法国第四季度</w:t>
      </w:r>
      <w:r w:rsidRPr="003444E6">
        <w:rPr>
          <w:lang w:eastAsia="zh-CN"/>
        </w:rPr>
        <w:t>GDP年率初值(%)</w:t>
      </w:r>
    </w:p>
    <w:p w:rsidR="003444E6" w:rsidRDefault="003444E6">
      <w:pPr>
        <w:pStyle w:val="a4"/>
        <w:spacing w:before="156" w:after="156"/>
        <w:ind w:firstLine="480"/>
        <w:rPr>
          <w:lang w:eastAsia="zh-CN"/>
        </w:rPr>
      </w:pPr>
      <w:r w:rsidRPr="003444E6">
        <w:rPr>
          <w:rFonts w:hint="eastAsia"/>
          <w:lang w:eastAsia="zh-CN"/>
        </w:rPr>
        <w:t>法国第四季度</w:t>
      </w:r>
      <w:r w:rsidRPr="003444E6">
        <w:rPr>
          <w:lang w:eastAsia="zh-CN"/>
        </w:rPr>
        <w:t>GDP季率初值(%)</w:t>
      </w:r>
    </w:p>
    <w:p w:rsidR="003444E6" w:rsidRDefault="003444E6">
      <w:pPr>
        <w:pStyle w:val="a4"/>
        <w:spacing w:before="156" w:after="156"/>
        <w:ind w:firstLine="480"/>
        <w:rPr>
          <w:lang w:eastAsia="zh-CN"/>
        </w:rPr>
      </w:pPr>
      <w:r w:rsidRPr="003444E6">
        <w:rPr>
          <w:rFonts w:hint="eastAsia"/>
          <w:lang w:eastAsia="zh-CN"/>
        </w:rPr>
        <w:t>德国第四季度季调后</w:t>
      </w:r>
      <w:r w:rsidRPr="003444E6">
        <w:rPr>
          <w:lang w:eastAsia="zh-CN"/>
        </w:rPr>
        <w:t>GDP季率初值(%)</w:t>
      </w:r>
    </w:p>
    <w:p w:rsidR="003444E6" w:rsidRDefault="003444E6">
      <w:pPr>
        <w:pStyle w:val="a4"/>
        <w:spacing w:before="156" w:after="156"/>
        <w:ind w:firstLine="480"/>
        <w:rPr>
          <w:lang w:eastAsia="zh-CN"/>
        </w:rPr>
      </w:pPr>
      <w:r w:rsidRPr="003444E6">
        <w:rPr>
          <w:rFonts w:hint="eastAsia"/>
          <w:lang w:eastAsia="zh-CN"/>
        </w:rPr>
        <w:t>德国第四季度未季调</w:t>
      </w:r>
      <w:r w:rsidRPr="003444E6">
        <w:rPr>
          <w:lang w:eastAsia="zh-CN"/>
        </w:rPr>
        <w:t>GDP年率初值(%)</w:t>
      </w:r>
    </w:p>
    <w:p w:rsidR="003444E6" w:rsidRDefault="003444E6">
      <w:pPr>
        <w:pStyle w:val="a4"/>
        <w:spacing w:before="156" w:after="156"/>
        <w:ind w:firstLine="480"/>
        <w:rPr>
          <w:lang w:eastAsia="zh-CN"/>
        </w:rPr>
      </w:pPr>
      <w:r w:rsidRPr="003444E6">
        <w:rPr>
          <w:rFonts w:hint="eastAsia"/>
          <w:lang w:eastAsia="zh-CN"/>
        </w:rPr>
        <w:t>德国</w:t>
      </w:r>
      <w:r w:rsidRPr="003444E6">
        <w:rPr>
          <w:lang w:eastAsia="zh-CN"/>
        </w:rPr>
        <w:t>1月季调后失业率(%)</w:t>
      </w:r>
    </w:p>
    <w:p w:rsidR="003444E6" w:rsidRDefault="003444E6">
      <w:pPr>
        <w:pStyle w:val="a4"/>
        <w:spacing w:before="156" w:after="156"/>
        <w:ind w:firstLine="480"/>
        <w:rPr>
          <w:lang w:eastAsia="zh-CN"/>
        </w:rPr>
      </w:pPr>
      <w:r w:rsidRPr="003444E6">
        <w:rPr>
          <w:rFonts w:hint="eastAsia"/>
          <w:lang w:eastAsia="zh-CN"/>
        </w:rPr>
        <w:t>德国</w:t>
      </w:r>
      <w:r w:rsidRPr="003444E6">
        <w:rPr>
          <w:lang w:eastAsia="zh-CN"/>
        </w:rPr>
        <w:t>1月季调后失业人数变动(万人)</w:t>
      </w:r>
    </w:p>
    <w:p w:rsidR="003444E6" w:rsidRDefault="003444E6">
      <w:pPr>
        <w:pStyle w:val="a4"/>
        <w:spacing w:before="156" w:after="156"/>
        <w:ind w:firstLine="480"/>
        <w:rPr>
          <w:lang w:eastAsia="zh-CN"/>
        </w:rPr>
      </w:pPr>
      <w:r w:rsidRPr="003444E6">
        <w:rPr>
          <w:rFonts w:hint="eastAsia"/>
          <w:lang w:eastAsia="zh-CN"/>
        </w:rPr>
        <w:t>美国</w:t>
      </w:r>
      <w:r w:rsidRPr="003444E6">
        <w:rPr>
          <w:lang w:eastAsia="zh-CN"/>
        </w:rPr>
        <w:t>12月个人支出月率(%)</w:t>
      </w:r>
    </w:p>
    <w:p w:rsidR="003444E6" w:rsidRDefault="003444E6">
      <w:pPr>
        <w:pStyle w:val="a4"/>
        <w:spacing w:before="156" w:after="156"/>
        <w:ind w:firstLine="480"/>
        <w:rPr>
          <w:lang w:eastAsia="zh-CN"/>
        </w:rPr>
      </w:pPr>
      <w:r w:rsidRPr="003444E6">
        <w:rPr>
          <w:rFonts w:hint="eastAsia"/>
          <w:lang w:eastAsia="zh-CN"/>
        </w:rPr>
        <w:t>加拿大</w:t>
      </w:r>
      <w:r w:rsidRPr="003444E6">
        <w:rPr>
          <w:lang w:eastAsia="zh-CN"/>
        </w:rPr>
        <w:t>11月季调后GDP月率(%)</w:t>
      </w:r>
    </w:p>
    <w:p w:rsidR="003444E6" w:rsidRDefault="003444E6">
      <w:pPr>
        <w:pStyle w:val="a4"/>
        <w:spacing w:before="156" w:after="156"/>
        <w:ind w:firstLine="480"/>
        <w:rPr>
          <w:lang w:eastAsia="zh-CN"/>
        </w:rPr>
      </w:pPr>
      <w:r w:rsidRPr="003444E6">
        <w:rPr>
          <w:rFonts w:hint="eastAsia"/>
          <w:lang w:eastAsia="zh-CN"/>
        </w:rPr>
        <w:t>加拿大</w:t>
      </w:r>
      <w:r w:rsidRPr="003444E6">
        <w:rPr>
          <w:lang w:eastAsia="zh-CN"/>
        </w:rPr>
        <w:t>11月季调后GDP年率(%)</w:t>
      </w:r>
    </w:p>
    <w:p w:rsidR="003444E6" w:rsidRDefault="003444E6">
      <w:pPr>
        <w:pStyle w:val="a4"/>
        <w:spacing w:before="156" w:after="156"/>
        <w:ind w:firstLine="480"/>
        <w:rPr>
          <w:lang w:eastAsia="zh-CN"/>
        </w:rPr>
      </w:pPr>
      <w:r w:rsidRPr="003444E6">
        <w:rPr>
          <w:rFonts w:hint="eastAsia"/>
          <w:lang w:eastAsia="zh-CN"/>
        </w:rPr>
        <w:t>美国</w:t>
      </w:r>
      <w:r w:rsidRPr="003444E6">
        <w:rPr>
          <w:lang w:eastAsia="zh-CN"/>
        </w:rPr>
        <w:t>12月PCE物价指数年率(%)</w:t>
      </w:r>
    </w:p>
    <w:p w:rsidR="003444E6" w:rsidRDefault="003444E6">
      <w:pPr>
        <w:pStyle w:val="a4"/>
        <w:spacing w:before="156" w:after="156"/>
        <w:ind w:firstLine="480"/>
        <w:rPr>
          <w:lang w:eastAsia="zh-CN"/>
        </w:rPr>
      </w:pPr>
      <w:r w:rsidRPr="003444E6">
        <w:rPr>
          <w:rFonts w:hint="eastAsia"/>
          <w:lang w:eastAsia="zh-CN"/>
        </w:rPr>
        <w:t>美国</w:t>
      </w:r>
      <w:r w:rsidRPr="003444E6">
        <w:rPr>
          <w:lang w:eastAsia="zh-CN"/>
        </w:rPr>
        <w:t>12月核心PCE物价指数年率(%)</w:t>
      </w:r>
    </w:p>
    <w:p w:rsidR="003444E6" w:rsidRDefault="003444E6">
      <w:pPr>
        <w:pStyle w:val="a4"/>
        <w:spacing w:before="156" w:after="156"/>
        <w:ind w:firstLine="480"/>
        <w:rPr>
          <w:lang w:eastAsia="zh-CN"/>
        </w:rPr>
      </w:pPr>
      <w:r w:rsidRPr="003444E6">
        <w:rPr>
          <w:lang w:eastAsia="zh-CN"/>
        </w:rPr>
        <w:t>美国1月芝加哥PMI</w:t>
      </w:r>
    </w:p>
    <w:p w:rsidR="003444E6" w:rsidRDefault="003444E6">
      <w:pPr>
        <w:pStyle w:val="a4"/>
        <w:spacing w:before="156" w:after="156"/>
        <w:ind w:firstLine="480"/>
        <w:rPr>
          <w:lang w:eastAsia="zh-CN"/>
        </w:rPr>
      </w:pPr>
      <w:r w:rsidRPr="003444E6">
        <w:rPr>
          <w:rFonts w:hint="eastAsia"/>
          <w:lang w:eastAsia="zh-CN"/>
        </w:rPr>
        <w:t>美国</w:t>
      </w:r>
      <w:r w:rsidRPr="003444E6">
        <w:rPr>
          <w:lang w:eastAsia="zh-CN"/>
        </w:rPr>
        <w:t>1月密歇根大学消费者信心指数终值</w:t>
      </w:r>
    </w:p>
    <w:p w:rsidR="003444E6" w:rsidRDefault="003444E6">
      <w:pPr>
        <w:pStyle w:val="a4"/>
        <w:spacing w:before="156" w:after="156"/>
        <w:ind w:firstLine="480"/>
        <w:rPr>
          <w:lang w:eastAsia="zh-CN"/>
        </w:rPr>
      </w:pPr>
      <w:r w:rsidRPr="003444E6">
        <w:rPr>
          <w:rFonts w:hint="eastAsia"/>
          <w:lang w:eastAsia="zh-CN"/>
        </w:rPr>
        <w:t>美国</w:t>
      </w:r>
      <w:r w:rsidRPr="003444E6">
        <w:rPr>
          <w:lang w:eastAsia="zh-CN"/>
        </w:rPr>
        <w:t>12月季调后成屋签约销售指数月率(%)</w:t>
      </w:r>
    </w:p>
    <w:p w:rsidR="003444E6" w:rsidRDefault="003444E6">
      <w:pPr>
        <w:pStyle w:val="a4"/>
        <w:spacing w:before="156" w:after="156"/>
        <w:ind w:firstLine="480"/>
        <w:rPr>
          <w:lang w:eastAsia="zh-CN"/>
        </w:rPr>
      </w:pPr>
    </w:p>
    <w:p w:rsidR="003444E6" w:rsidRDefault="003444E6">
      <w:pPr>
        <w:pStyle w:val="a4"/>
        <w:spacing w:before="156" w:after="156"/>
        <w:ind w:firstLine="480"/>
        <w:rPr>
          <w:lang w:eastAsia="zh-CN"/>
        </w:rPr>
      </w:pPr>
    </w:p>
    <w:p w:rsidR="00425B93" w:rsidRDefault="008659C3">
      <w:pPr>
        <w:rPr>
          <w:rFonts w:ascii="黑体" w:eastAsia="黑体" w:hAnsi="黑体"/>
          <w:sz w:val="32"/>
          <w:szCs w:val="32"/>
        </w:rPr>
      </w:pPr>
      <w:r>
        <w:rPr>
          <w:rFonts w:ascii="黑体" w:eastAsia="黑体" w:hAnsi="黑体"/>
          <w:sz w:val="32"/>
          <w:szCs w:val="32"/>
        </w:rPr>
        <w:t xml:space="preserve">重要声明 </w:t>
      </w:r>
    </w:p>
    <w:p w:rsidR="00425B93" w:rsidRDefault="008659C3">
      <w:pPr>
        <w:spacing w:line="360" w:lineRule="auto"/>
        <w:ind w:left="360" w:right="113"/>
        <w:rPr>
          <w:rFonts w:ascii="仿宋" w:eastAsia="仿宋" w:hAnsi="仿宋"/>
          <w:sz w:val="24"/>
          <w:szCs w:val="28"/>
        </w:rPr>
      </w:pPr>
      <w:r>
        <w:rPr>
          <w:rFonts w:ascii="仿宋" w:eastAsia="仿宋" w:hAnsi="仿宋" w:hint="eastAsia"/>
          <w:spacing w:val="2"/>
          <w:sz w:val="24"/>
          <w:szCs w:val="28"/>
        </w:rPr>
        <w:t xml:space="preserve">　　</w:t>
      </w:r>
      <w:r>
        <w:rPr>
          <w:rFonts w:ascii="仿宋" w:eastAsia="仿宋" w:hAnsi="仿宋"/>
          <w:spacing w:val="2"/>
          <w:sz w:val="24"/>
          <w:szCs w:val="28"/>
        </w:rPr>
        <w:t>新</w:t>
      </w:r>
      <w:r>
        <w:rPr>
          <w:rFonts w:ascii="仿宋" w:eastAsia="仿宋" w:hAnsi="仿宋"/>
          <w:sz w:val="24"/>
          <w:szCs w:val="28"/>
        </w:rPr>
        <w:t>华财</w:t>
      </w:r>
      <w:r>
        <w:rPr>
          <w:rFonts w:ascii="仿宋" w:eastAsia="仿宋" w:hAnsi="仿宋"/>
          <w:spacing w:val="2"/>
          <w:sz w:val="24"/>
          <w:szCs w:val="28"/>
        </w:rPr>
        <w:t>经</w:t>
      </w:r>
      <w:r>
        <w:rPr>
          <w:rFonts w:ascii="仿宋" w:eastAsia="仿宋" w:hAnsi="仿宋"/>
          <w:sz w:val="24"/>
          <w:szCs w:val="28"/>
        </w:rPr>
        <w:t>研</w:t>
      </w:r>
      <w:r>
        <w:rPr>
          <w:rFonts w:ascii="仿宋" w:eastAsia="仿宋" w:hAnsi="仿宋"/>
          <w:spacing w:val="2"/>
          <w:sz w:val="24"/>
          <w:szCs w:val="28"/>
        </w:rPr>
        <w:t>报</w:t>
      </w:r>
      <w:r>
        <w:rPr>
          <w:rFonts w:ascii="仿宋" w:eastAsia="仿宋" w:hAnsi="仿宋"/>
          <w:sz w:val="24"/>
          <w:szCs w:val="28"/>
        </w:rPr>
        <w:t>由</w:t>
      </w:r>
      <w:r>
        <w:rPr>
          <w:rFonts w:ascii="仿宋" w:eastAsia="仿宋" w:hAnsi="仿宋" w:hint="eastAsia"/>
          <w:sz w:val="24"/>
          <w:szCs w:val="28"/>
        </w:rPr>
        <w:t>新华社中国经济信息社</w:t>
      </w:r>
      <w:r>
        <w:rPr>
          <w:rFonts w:ascii="仿宋" w:eastAsia="仿宋" w:hAnsi="仿宋"/>
          <w:sz w:val="24"/>
          <w:szCs w:val="28"/>
        </w:rPr>
        <w:t>发</w:t>
      </w:r>
      <w:r>
        <w:rPr>
          <w:rFonts w:ascii="仿宋" w:eastAsia="仿宋" w:hAnsi="仿宋"/>
          <w:spacing w:val="2"/>
          <w:sz w:val="24"/>
          <w:szCs w:val="28"/>
        </w:rPr>
        <w:t>布</w:t>
      </w:r>
      <w:r>
        <w:rPr>
          <w:rFonts w:ascii="仿宋" w:eastAsia="仿宋" w:hAnsi="仿宋"/>
          <w:sz w:val="24"/>
          <w:szCs w:val="28"/>
        </w:rPr>
        <w:t>。</w:t>
      </w:r>
      <w:r>
        <w:rPr>
          <w:rFonts w:ascii="仿宋" w:eastAsia="仿宋" w:hAnsi="仿宋"/>
          <w:spacing w:val="2"/>
          <w:sz w:val="24"/>
          <w:szCs w:val="28"/>
        </w:rPr>
        <w:t>报</w:t>
      </w:r>
      <w:r>
        <w:rPr>
          <w:rFonts w:ascii="仿宋" w:eastAsia="仿宋" w:hAnsi="仿宋"/>
          <w:sz w:val="24"/>
          <w:szCs w:val="28"/>
        </w:rPr>
        <w:t>告依</w:t>
      </w:r>
      <w:r>
        <w:rPr>
          <w:rFonts w:ascii="仿宋" w:eastAsia="仿宋" w:hAnsi="仿宋"/>
          <w:spacing w:val="2"/>
          <w:sz w:val="24"/>
          <w:szCs w:val="28"/>
        </w:rPr>
        <w:t>据</w:t>
      </w:r>
      <w:r>
        <w:rPr>
          <w:rFonts w:ascii="仿宋" w:eastAsia="仿宋" w:hAnsi="仿宋"/>
          <w:sz w:val="24"/>
          <w:szCs w:val="28"/>
        </w:rPr>
        <w:t>国际</w:t>
      </w:r>
      <w:r>
        <w:rPr>
          <w:rFonts w:ascii="仿宋" w:eastAsia="仿宋" w:hAnsi="仿宋"/>
          <w:spacing w:val="2"/>
          <w:sz w:val="24"/>
          <w:szCs w:val="28"/>
        </w:rPr>
        <w:t>和</w:t>
      </w:r>
      <w:r>
        <w:rPr>
          <w:rFonts w:ascii="仿宋" w:eastAsia="仿宋" w:hAnsi="仿宋"/>
          <w:sz w:val="24"/>
          <w:szCs w:val="28"/>
        </w:rPr>
        <w:t>行业</w:t>
      </w:r>
      <w:r>
        <w:rPr>
          <w:rFonts w:ascii="仿宋" w:eastAsia="仿宋" w:hAnsi="仿宋"/>
          <w:spacing w:val="4"/>
          <w:sz w:val="24"/>
          <w:szCs w:val="28"/>
        </w:rPr>
        <w:t>通</w:t>
      </w:r>
      <w:r>
        <w:rPr>
          <w:rFonts w:ascii="仿宋" w:eastAsia="仿宋" w:hAnsi="仿宋"/>
          <w:sz w:val="24"/>
          <w:szCs w:val="28"/>
        </w:rPr>
        <w:t>行</w:t>
      </w:r>
      <w:r>
        <w:rPr>
          <w:rFonts w:ascii="仿宋" w:eastAsia="仿宋" w:hAnsi="仿宋"/>
          <w:spacing w:val="2"/>
          <w:sz w:val="24"/>
          <w:szCs w:val="28"/>
        </w:rPr>
        <w:t>准</w:t>
      </w:r>
      <w:r>
        <w:rPr>
          <w:rFonts w:ascii="仿宋" w:eastAsia="仿宋" w:hAnsi="仿宋"/>
          <w:sz w:val="24"/>
          <w:szCs w:val="28"/>
        </w:rPr>
        <w:t>则由</w:t>
      </w:r>
      <w:r>
        <w:rPr>
          <w:rFonts w:ascii="仿宋" w:eastAsia="仿宋" w:hAnsi="仿宋"/>
          <w:spacing w:val="2"/>
          <w:sz w:val="24"/>
          <w:szCs w:val="28"/>
        </w:rPr>
        <w:t>新</w:t>
      </w:r>
      <w:r>
        <w:rPr>
          <w:rFonts w:ascii="仿宋" w:eastAsia="仿宋" w:hAnsi="仿宋"/>
          <w:sz w:val="24"/>
          <w:szCs w:val="28"/>
        </w:rPr>
        <w:t>华</w:t>
      </w:r>
      <w:r>
        <w:rPr>
          <w:rFonts w:ascii="仿宋" w:eastAsia="仿宋" w:hAnsi="仿宋" w:hint="eastAsia"/>
          <w:sz w:val="24"/>
          <w:szCs w:val="28"/>
        </w:rPr>
        <w:t>社经济</w:t>
      </w:r>
      <w:r>
        <w:rPr>
          <w:rFonts w:ascii="仿宋" w:eastAsia="仿宋" w:hAnsi="仿宋"/>
          <w:sz w:val="24"/>
          <w:szCs w:val="28"/>
        </w:rPr>
        <w:t>分析</w:t>
      </w:r>
      <w:r>
        <w:rPr>
          <w:rFonts w:ascii="仿宋" w:eastAsia="仿宋" w:hAnsi="仿宋"/>
          <w:spacing w:val="2"/>
          <w:sz w:val="24"/>
          <w:szCs w:val="28"/>
        </w:rPr>
        <w:t>师</w:t>
      </w:r>
      <w:r>
        <w:rPr>
          <w:rFonts w:ascii="仿宋" w:eastAsia="仿宋" w:hAnsi="仿宋"/>
          <w:sz w:val="24"/>
          <w:szCs w:val="28"/>
        </w:rPr>
        <w:t>采</w:t>
      </w:r>
      <w:r>
        <w:rPr>
          <w:rFonts w:ascii="仿宋" w:eastAsia="仿宋" w:hAnsi="仿宋"/>
          <w:spacing w:val="2"/>
          <w:sz w:val="24"/>
          <w:szCs w:val="28"/>
        </w:rPr>
        <w:t>集</w:t>
      </w:r>
      <w:r>
        <w:rPr>
          <w:rFonts w:ascii="仿宋" w:eastAsia="仿宋" w:hAnsi="仿宋"/>
          <w:sz w:val="24"/>
          <w:szCs w:val="28"/>
        </w:rPr>
        <w:t>撰写</w:t>
      </w:r>
      <w:r>
        <w:rPr>
          <w:rFonts w:ascii="仿宋" w:eastAsia="仿宋" w:hAnsi="仿宋"/>
          <w:spacing w:val="2"/>
          <w:sz w:val="24"/>
          <w:szCs w:val="28"/>
        </w:rPr>
        <w:t>或</w:t>
      </w:r>
      <w:r>
        <w:rPr>
          <w:rFonts w:ascii="仿宋" w:eastAsia="仿宋" w:hAnsi="仿宋"/>
          <w:sz w:val="24"/>
          <w:szCs w:val="28"/>
        </w:rPr>
        <w:t>编发，</w:t>
      </w:r>
      <w:r>
        <w:rPr>
          <w:rFonts w:ascii="仿宋" w:eastAsia="仿宋" w:hAnsi="仿宋"/>
          <w:spacing w:val="2"/>
          <w:sz w:val="24"/>
          <w:szCs w:val="28"/>
        </w:rPr>
        <w:t>仅</w:t>
      </w:r>
      <w:r>
        <w:rPr>
          <w:rFonts w:ascii="仿宋" w:eastAsia="仿宋" w:hAnsi="仿宋"/>
          <w:sz w:val="24"/>
          <w:szCs w:val="28"/>
        </w:rPr>
        <w:t>反映作</w:t>
      </w:r>
      <w:r>
        <w:rPr>
          <w:rFonts w:ascii="仿宋" w:eastAsia="仿宋" w:hAnsi="仿宋"/>
          <w:spacing w:val="4"/>
          <w:sz w:val="24"/>
          <w:szCs w:val="28"/>
        </w:rPr>
        <w:t>者</w:t>
      </w:r>
      <w:r>
        <w:rPr>
          <w:rFonts w:ascii="仿宋" w:eastAsia="仿宋" w:hAnsi="仿宋"/>
          <w:sz w:val="24"/>
          <w:szCs w:val="28"/>
        </w:rPr>
        <w:t>的观</w:t>
      </w:r>
      <w:r>
        <w:rPr>
          <w:rFonts w:ascii="仿宋" w:eastAsia="仿宋" w:hAnsi="仿宋"/>
          <w:spacing w:val="2"/>
          <w:sz w:val="24"/>
          <w:szCs w:val="28"/>
        </w:rPr>
        <w:t>点</w:t>
      </w:r>
      <w:r>
        <w:rPr>
          <w:rFonts w:ascii="仿宋" w:eastAsia="仿宋" w:hAnsi="仿宋"/>
          <w:sz w:val="24"/>
          <w:szCs w:val="28"/>
        </w:rPr>
        <w:t>、见解</w:t>
      </w:r>
      <w:r>
        <w:rPr>
          <w:rFonts w:ascii="仿宋" w:eastAsia="仿宋" w:hAnsi="仿宋"/>
          <w:spacing w:val="2"/>
          <w:sz w:val="24"/>
          <w:szCs w:val="28"/>
        </w:rPr>
        <w:t>及</w:t>
      </w:r>
      <w:r>
        <w:rPr>
          <w:rFonts w:ascii="仿宋" w:eastAsia="仿宋" w:hAnsi="仿宋"/>
          <w:sz w:val="24"/>
          <w:szCs w:val="28"/>
        </w:rPr>
        <w:t>分析方</w:t>
      </w:r>
      <w:r>
        <w:rPr>
          <w:rFonts w:ascii="仿宋" w:eastAsia="仿宋" w:hAnsi="仿宋"/>
          <w:spacing w:val="2"/>
          <w:sz w:val="24"/>
          <w:szCs w:val="28"/>
        </w:rPr>
        <w:t>法</w:t>
      </w:r>
      <w:r>
        <w:rPr>
          <w:rFonts w:ascii="仿宋" w:eastAsia="仿宋" w:hAnsi="仿宋"/>
          <w:sz w:val="24"/>
          <w:szCs w:val="28"/>
        </w:rPr>
        <w:t>，尽</w:t>
      </w:r>
      <w:r>
        <w:rPr>
          <w:rFonts w:ascii="仿宋" w:eastAsia="仿宋" w:hAnsi="仿宋"/>
          <w:spacing w:val="2"/>
          <w:sz w:val="24"/>
          <w:szCs w:val="28"/>
        </w:rPr>
        <w:t>可</w:t>
      </w:r>
      <w:r>
        <w:rPr>
          <w:rFonts w:ascii="仿宋" w:eastAsia="仿宋" w:hAnsi="仿宋"/>
          <w:sz w:val="24"/>
          <w:szCs w:val="28"/>
        </w:rPr>
        <w:t>能保证</w:t>
      </w:r>
      <w:r>
        <w:rPr>
          <w:rFonts w:ascii="仿宋" w:eastAsia="仿宋" w:hAnsi="仿宋"/>
          <w:spacing w:val="2"/>
          <w:sz w:val="24"/>
          <w:szCs w:val="28"/>
        </w:rPr>
        <w:t>信</w:t>
      </w:r>
      <w:r>
        <w:rPr>
          <w:rFonts w:ascii="仿宋" w:eastAsia="仿宋" w:hAnsi="仿宋"/>
          <w:sz w:val="24"/>
          <w:szCs w:val="28"/>
        </w:rPr>
        <w:t>息的可</w:t>
      </w:r>
      <w:r>
        <w:rPr>
          <w:rFonts w:ascii="仿宋" w:eastAsia="仿宋" w:hAnsi="仿宋"/>
          <w:spacing w:val="2"/>
          <w:sz w:val="24"/>
          <w:szCs w:val="28"/>
        </w:rPr>
        <w:t>靠</w:t>
      </w:r>
      <w:r>
        <w:rPr>
          <w:rFonts w:ascii="仿宋" w:eastAsia="仿宋" w:hAnsi="仿宋"/>
          <w:sz w:val="24"/>
          <w:szCs w:val="28"/>
        </w:rPr>
        <w:t>、准</w:t>
      </w:r>
      <w:r>
        <w:rPr>
          <w:rFonts w:ascii="仿宋" w:eastAsia="仿宋" w:hAnsi="仿宋"/>
          <w:spacing w:val="2"/>
          <w:sz w:val="24"/>
          <w:szCs w:val="28"/>
        </w:rPr>
        <w:t>确</w:t>
      </w:r>
      <w:r>
        <w:rPr>
          <w:rFonts w:ascii="仿宋" w:eastAsia="仿宋" w:hAnsi="仿宋"/>
          <w:sz w:val="24"/>
          <w:szCs w:val="28"/>
        </w:rPr>
        <w:t>和完整</w:t>
      </w:r>
      <w:r>
        <w:rPr>
          <w:rFonts w:ascii="仿宋" w:eastAsia="仿宋" w:hAnsi="仿宋" w:hint="eastAsia"/>
          <w:spacing w:val="2"/>
          <w:sz w:val="24"/>
          <w:szCs w:val="28"/>
        </w:rPr>
        <w:t>，</w:t>
      </w:r>
      <w:r>
        <w:rPr>
          <w:rFonts w:ascii="仿宋" w:eastAsia="仿宋" w:hAnsi="仿宋"/>
          <w:sz w:val="24"/>
          <w:szCs w:val="28"/>
        </w:rPr>
        <w:t>不</w:t>
      </w:r>
      <w:r>
        <w:rPr>
          <w:rFonts w:ascii="仿宋" w:eastAsia="仿宋" w:hAnsi="仿宋"/>
          <w:spacing w:val="2"/>
          <w:sz w:val="24"/>
          <w:szCs w:val="28"/>
        </w:rPr>
        <w:t>对</w:t>
      </w:r>
      <w:r>
        <w:rPr>
          <w:rFonts w:ascii="仿宋" w:eastAsia="仿宋" w:hAnsi="仿宋"/>
          <w:sz w:val="24"/>
          <w:szCs w:val="28"/>
        </w:rPr>
        <w:t>外公开</w:t>
      </w:r>
      <w:r>
        <w:rPr>
          <w:rFonts w:ascii="仿宋" w:eastAsia="仿宋" w:hAnsi="仿宋"/>
          <w:spacing w:val="2"/>
          <w:sz w:val="24"/>
          <w:szCs w:val="28"/>
        </w:rPr>
        <w:t>发</w:t>
      </w:r>
      <w:r>
        <w:rPr>
          <w:rFonts w:ascii="仿宋" w:eastAsia="仿宋" w:hAnsi="仿宋"/>
          <w:sz w:val="24"/>
          <w:szCs w:val="28"/>
        </w:rPr>
        <w:t>布，</w:t>
      </w:r>
      <w:r>
        <w:rPr>
          <w:rFonts w:ascii="仿宋" w:eastAsia="仿宋" w:hAnsi="仿宋"/>
          <w:spacing w:val="2"/>
          <w:sz w:val="24"/>
          <w:szCs w:val="28"/>
        </w:rPr>
        <w:t>仅</w:t>
      </w:r>
      <w:r>
        <w:rPr>
          <w:rFonts w:ascii="仿宋" w:eastAsia="仿宋" w:hAnsi="仿宋"/>
          <w:sz w:val="24"/>
          <w:szCs w:val="28"/>
        </w:rPr>
        <w:t>供接收</w:t>
      </w:r>
      <w:r>
        <w:rPr>
          <w:rFonts w:ascii="仿宋" w:eastAsia="仿宋" w:hAnsi="仿宋"/>
          <w:spacing w:val="2"/>
          <w:sz w:val="24"/>
          <w:szCs w:val="28"/>
        </w:rPr>
        <w:t>客</w:t>
      </w:r>
      <w:r>
        <w:rPr>
          <w:rFonts w:ascii="仿宋" w:eastAsia="仿宋" w:hAnsi="仿宋"/>
          <w:sz w:val="24"/>
          <w:szCs w:val="28"/>
        </w:rPr>
        <w:t>户参考</w:t>
      </w:r>
      <w:r>
        <w:rPr>
          <w:rFonts w:ascii="仿宋" w:eastAsia="仿宋" w:hAnsi="仿宋"/>
          <w:spacing w:val="2"/>
          <w:sz w:val="24"/>
          <w:szCs w:val="28"/>
        </w:rPr>
        <w:t>。</w:t>
      </w:r>
      <w:r>
        <w:rPr>
          <w:rFonts w:ascii="仿宋" w:eastAsia="仿宋" w:hAnsi="仿宋"/>
          <w:sz w:val="24"/>
          <w:szCs w:val="28"/>
        </w:rPr>
        <w:t>未经</w:t>
      </w:r>
      <w:r>
        <w:rPr>
          <w:rFonts w:ascii="仿宋" w:eastAsia="仿宋" w:hAnsi="仿宋"/>
          <w:spacing w:val="2"/>
          <w:sz w:val="24"/>
          <w:szCs w:val="28"/>
        </w:rPr>
        <w:t>书</w:t>
      </w:r>
      <w:r>
        <w:rPr>
          <w:rFonts w:ascii="仿宋" w:eastAsia="仿宋" w:hAnsi="仿宋"/>
          <w:sz w:val="24"/>
          <w:szCs w:val="28"/>
        </w:rPr>
        <w:t>面许可</w:t>
      </w:r>
      <w:r>
        <w:rPr>
          <w:rFonts w:ascii="仿宋" w:eastAsia="仿宋" w:hAnsi="仿宋"/>
          <w:spacing w:val="4"/>
          <w:sz w:val="24"/>
          <w:szCs w:val="28"/>
        </w:rPr>
        <w:t>，</w:t>
      </w:r>
      <w:r>
        <w:rPr>
          <w:rFonts w:ascii="仿宋" w:eastAsia="仿宋" w:hAnsi="仿宋"/>
          <w:sz w:val="24"/>
          <w:szCs w:val="28"/>
        </w:rPr>
        <w:t>任何机</w:t>
      </w:r>
      <w:r>
        <w:rPr>
          <w:rFonts w:ascii="仿宋" w:eastAsia="仿宋" w:hAnsi="仿宋"/>
          <w:spacing w:val="2"/>
          <w:sz w:val="24"/>
          <w:szCs w:val="28"/>
        </w:rPr>
        <w:t>构</w:t>
      </w:r>
      <w:r>
        <w:rPr>
          <w:rFonts w:ascii="仿宋" w:eastAsia="仿宋" w:hAnsi="仿宋"/>
          <w:sz w:val="24"/>
          <w:szCs w:val="28"/>
        </w:rPr>
        <w:t>或个人</w:t>
      </w:r>
      <w:r>
        <w:rPr>
          <w:rFonts w:ascii="仿宋" w:eastAsia="仿宋" w:hAnsi="仿宋"/>
          <w:spacing w:val="-3"/>
          <w:sz w:val="24"/>
          <w:szCs w:val="28"/>
        </w:rPr>
        <w:t>不</w:t>
      </w:r>
      <w:r>
        <w:rPr>
          <w:rFonts w:ascii="仿宋" w:eastAsia="仿宋" w:hAnsi="仿宋"/>
          <w:sz w:val="24"/>
          <w:szCs w:val="28"/>
        </w:rPr>
        <w:t>得</w:t>
      </w:r>
      <w:r>
        <w:rPr>
          <w:rFonts w:ascii="仿宋" w:eastAsia="仿宋" w:hAnsi="仿宋"/>
          <w:spacing w:val="-3"/>
          <w:sz w:val="24"/>
          <w:szCs w:val="28"/>
        </w:rPr>
        <w:t>以</w:t>
      </w:r>
      <w:r>
        <w:rPr>
          <w:rFonts w:ascii="仿宋" w:eastAsia="仿宋" w:hAnsi="仿宋"/>
          <w:sz w:val="24"/>
          <w:szCs w:val="28"/>
        </w:rPr>
        <w:t>任</w:t>
      </w:r>
      <w:r>
        <w:rPr>
          <w:rFonts w:ascii="仿宋" w:eastAsia="仿宋" w:hAnsi="仿宋"/>
          <w:spacing w:val="-3"/>
          <w:sz w:val="24"/>
          <w:szCs w:val="28"/>
        </w:rPr>
        <w:t>何</w:t>
      </w:r>
      <w:r>
        <w:rPr>
          <w:rFonts w:ascii="仿宋" w:eastAsia="仿宋" w:hAnsi="仿宋"/>
          <w:sz w:val="24"/>
          <w:szCs w:val="28"/>
        </w:rPr>
        <w:t>形</w:t>
      </w:r>
      <w:r>
        <w:rPr>
          <w:rFonts w:ascii="仿宋" w:eastAsia="仿宋" w:hAnsi="仿宋"/>
          <w:spacing w:val="-5"/>
          <w:sz w:val="24"/>
          <w:szCs w:val="28"/>
        </w:rPr>
        <w:t>式</w:t>
      </w:r>
      <w:r>
        <w:rPr>
          <w:rFonts w:ascii="仿宋" w:eastAsia="仿宋" w:hAnsi="仿宋"/>
          <w:sz w:val="24"/>
          <w:szCs w:val="28"/>
        </w:rPr>
        <w:t>翻</w:t>
      </w:r>
      <w:r>
        <w:rPr>
          <w:rFonts w:ascii="仿宋" w:eastAsia="仿宋" w:hAnsi="仿宋"/>
          <w:spacing w:val="-3"/>
          <w:sz w:val="24"/>
          <w:szCs w:val="28"/>
        </w:rPr>
        <w:t>版</w:t>
      </w:r>
      <w:r>
        <w:rPr>
          <w:rFonts w:ascii="仿宋" w:eastAsia="仿宋" w:hAnsi="仿宋"/>
          <w:sz w:val="24"/>
          <w:szCs w:val="28"/>
        </w:rPr>
        <w:t>、复</w:t>
      </w:r>
      <w:r>
        <w:rPr>
          <w:rFonts w:ascii="仿宋" w:eastAsia="仿宋" w:hAnsi="仿宋"/>
          <w:spacing w:val="-3"/>
          <w:sz w:val="24"/>
          <w:szCs w:val="28"/>
        </w:rPr>
        <w:t>制</w:t>
      </w:r>
      <w:r>
        <w:rPr>
          <w:rFonts w:ascii="仿宋" w:eastAsia="仿宋" w:hAnsi="仿宋"/>
          <w:sz w:val="24"/>
          <w:szCs w:val="28"/>
        </w:rPr>
        <w:t>、</w:t>
      </w:r>
      <w:r>
        <w:rPr>
          <w:rFonts w:ascii="仿宋" w:eastAsia="仿宋" w:hAnsi="仿宋"/>
          <w:spacing w:val="-3"/>
          <w:sz w:val="24"/>
          <w:szCs w:val="28"/>
        </w:rPr>
        <w:t>刊</w:t>
      </w:r>
      <w:r>
        <w:rPr>
          <w:rFonts w:ascii="仿宋" w:eastAsia="仿宋" w:hAnsi="仿宋"/>
          <w:sz w:val="24"/>
          <w:szCs w:val="28"/>
        </w:rPr>
        <w:t>登</w:t>
      </w:r>
      <w:r>
        <w:rPr>
          <w:rFonts w:ascii="仿宋" w:eastAsia="仿宋" w:hAnsi="仿宋"/>
          <w:spacing w:val="-3"/>
          <w:sz w:val="24"/>
          <w:szCs w:val="28"/>
        </w:rPr>
        <w:t>、</w:t>
      </w:r>
      <w:r>
        <w:rPr>
          <w:rFonts w:ascii="仿宋" w:eastAsia="仿宋" w:hAnsi="仿宋"/>
          <w:sz w:val="24"/>
          <w:szCs w:val="28"/>
        </w:rPr>
        <w:t>转</w:t>
      </w:r>
      <w:r>
        <w:rPr>
          <w:rFonts w:ascii="仿宋" w:eastAsia="仿宋" w:hAnsi="仿宋"/>
          <w:spacing w:val="-3"/>
          <w:sz w:val="24"/>
          <w:szCs w:val="28"/>
        </w:rPr>
        <w:t>载</w:t>
      </w:r>
      <w:r>
        <w:rPr>
          <w:rFonts w:ascii="仿宋" w:eastAsia="仿宋" w:hAnsi="仿宋"/>
          <w:sz w:val="24"/>
          <w:szCs w:val="28"/>
        </w:rPr>
        <w:t>和</w:t>
      </w:r>
      <w:r>
        <w:rPr>
          <w:rFonts w:ascii="仿宋" w:eastAsia="仿宋" w:hAnsi="仿宋"/>
          <w:spacing w:val="-3"/>
          <w:sz w:val="24"/>
          <w:szCs w:val="28"/>
        </w:rPr>
        <w:t>引</w:t>
      </w:r>
      <w:r>
        <w:rPr>
          <w:rFonts w:ascii="仿宋" w:eastAsia="仿宋" w:hAnsi="仿宋"/>
          <w:sz w:val="24"/>
          <w:szCs w:val="28"/>
        </w:rPr>
        <w:t>用。</w:t>
      </w:r>
    </w:p>
    <w:p w:rsidR="00425B93" w:rsidRDefault="00425B93">
      <w:pPr>
        <w:pStyle w:val="a4"/>
        <w:spacing w:before="156" w:after="156"/>
        <w:ind w:firstLine="480"/>
        <w:rPr>
          <w:lang w:eastAsia="zh-CN"/>
        </w:rPr>
      </w:pPr>
    </w:p>
    <w:sectPr w:rsidR="00425B93" w:rsidSect="00425B93">
      <w:headerReference w:type="default" r:id="rId10"/>
      <w:footerReference w:type="default" r:id="rId11"/>
      <w:footerReference w:type="first" r:id="rId12"/>
      <w:pgSz w:w="11906" w:h="16838"/>
      <w:pgMar w:top="1701" w:right="851" w:bottom="720" w:left="1271" w:header="227" w:footer="794" w:gutter="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5263" w:rsidRDefault="00215263" w:rsidP="00425B93">
      <w:r>
        <w:separator/>
      </w:r>
    </w:p>
  </w:endnote>
  <w:endnote w:type="continuationSeparator" w:id="1">
    <w:p w:rsidR="00215263" w:rsidRDefault="00215263" w:rsidP="00425B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楷体">
    <w:panose1 w:val="02010609060101010101"/>
    <w:charset w:val="86"/>
    <w:family w:val="modern"/>
    <w:pitch w:val="fixed"/>
    <w:sig w:usb0="800002BF" w:usb1="38CF7CFA" w:usb2="00000016" w:usb3="00000000" w:csb0="00040001"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717" w:rsidRDefault="00F00806">
    <w:pPr>
      <w:pStyle w:val="a6"/>
      <w:jc w:val="right"/>
    </w:pPr>
    <w:r>
      <w:rPr>
        <w:b/>
        <w:bCs/>
        <w:sz w:val="24"/>
        <w:szCs w:val="24"/>
      </w:rPr>
      <w:fldChar w:fldCharType="begin"/>
    </w:r>
    <w:r w:rsidR="00A42717">
      <w:rPr>
        <w:b/>
        <w:bCs/>
      </w:rPr>
      <w:instrText>PAGE</w:instrText>
    </w:r>
    <w:r>
      <w:rPr>
        <w:b/>
        <w:bCs/>
        <w:sz w:val="24"/>
        <w:szCs w:val="24"/>
      </w:rPr>
      <w:fldChar w:fldCharType="separate"/>
    </w:r>
    <w:r w:rsidR="00BA06FA">
      <w:rPr>
        <w:b/>
        <w:bCs/>
        <w:noProof/>
      </w:rPr>
      <w:t>40</w:t>
    </w:r>
    <w:r>
      <w:rPr>
        <w:b/>
        <w:bCs/>
        <w:sz w:val="24"/>
        <w:szCs w:val="24"/>
      </w:rPr>
      <w:fldChar w:fldCharType="end"/>
    </w:r>
    <w:r w:rsidR="00A42717">
      <w:rPr>
        <w:lang w:val="zh-CN"/>
      </w:rPr>
      <w:t xml:space="preserve"> / </w:t>
    </w:r>
    <w:r>
      <w:rPr>
        <w:b/>
        <w:bCs/>
        <w:sz w:val="24"/>
        <w:szCs w:val="24"/>
      </w:rPr>
      <w:fldChar w:fldCharType="begin"/>
    </w:r>
    <w:r w:rsidR="00A42717">
      <w:rPr>
        <w:b/>
        <w:bCs/>
      </w:rPr>
      <w:instrText>NUMPAGES</w:instrText>
    </w:r>
    <w:r>
      <w:rPr>
        <w:b/>
        <w:bCs/>
        <w:sz w:val="24"/>
        <w:szCs w:val="24"/>
      </w:rPr>
      <w:fldChar w:fldCharType="separate"/>
    </w:r>
    <w:r w:rsidR="00BA06FA">
      <w:rPr>
        <w:b/>
        <w:bCs/>
        <w:noProof/>
      </w:rPr>
      <w:t>40</w:t>
    </w:r>
    <w:r>
      <w:rPr>
        <w:b/>
        <w:bCs/>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717" w:rsidRDefault="00F00806">
    <w:pPr>
      <w:pStyle w:val="a6"/>
      <w:wordWrap w:val="0"/>
      <w:jc w:val="right"/>
    </w:pPr>
    <w:r w:rsidRPr="00F00806">
      <w:rPr>
        <w:sz w:val="23"/>
      </w:rPr>
      <w:pict>
        <v:shapetype id="_x0000_t202" coordsize="21600,21600" o:spt="202" path="m,l,21600r21600,l21600,xe">
          <v:stroke joinstyle="miter"/>
          <v:path gradientshapeok="t" o:connecttype="rect"/>
        </v:shapetype>
        <v:shape id="文本框 2" o:spid="_x0000_s2049" type="#_x0000_t202" style="position:absolute;left:0;text-align:left;margin-left:0;margin-top:-1.4pt;width:155pt;height:20.8pt;z-index:251658240;mso-height-percent:200;mso-wrap-distance-top:3.6pt;mso-wrap-distance-bottom:3.6pt;mso-position-horizontal:left;mso-position-horizontal-relative:margin;mso-height-percent:200;mso-height-relative:margin" o:gfxdata="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GByaGbUAAAABgEAAA8AAAAAAAAAAQAgAAAAIgAAAGRycy9k&#10;b3ducmV2LnhtbFBLAQIUABQAAAAIAIdO4kC1syRcPwIAAGIEAAAOAAAAAAAAAAEAIAAAACMBAABk&#10;cnMvZTJvRG9jLnhtbFBLBQYAAAAABgAGAFkBAADUBQAAAAA=&#10;" stroked="f">
          <v:textbox style="mso-fit-shape-to-text:t">
            <w:txbxContent>
              <w:p w:rsidR="00A42717" w:rsidRDefault="00A42717">
                <w:pPr>
                  <w:jc w:val="left"/>
                  <w:rPr>
                    <w:rFonts w:ascii="仿宋" w:eastAsia="仿宋" w:hAnsi="仿宋"/>
                    <w:color w:val="1F4E79"/>
                  </w:rPr>
                </w:pPr>
                <w:r>
                  <w:rPr>
                    <w:rFonts w:ascii="仿宋" w:eastAsia="仿宋" w:hAnsi="仿宋" w:hint="eastAsia"/>
                    <w:color w:val="1F4E79"/>
                  </w:rPr>
                  <w:t xml:space="preserve">请参阅本报告最末重要声明 </w:t>
                </w:r>
              </w:p>
            </w:txbxContent>
          </v:textbox>
          <w10:wrap type="square" anchorx="margin"/>
        </v:shape>
      </w:pict>
    </w:r>
    <w:r>
      <w:rPr>
        <w:b/>
        <w:bCs/>
        <w:sz w:val="24"/>
        <w:szCs w:val="24"/>
      </w:rPr>
      <w:fldChar w:fldCharType="begin"/>
    </w:r>
    <w:r w:rsidR="00A42717">
      <w:rPr>
        <w:b/>
        <w:bCs/>
      </w:rPr>
      <w:instrText>PAGE</w:instrText>
    </w:r>
    <w:r>
      <w:rPr>
        <w:b/>
        <w:bCs/>
        <w:sz w:val="24"/>
        <w:szCs w:val="24"/>
      </w:rPr>
      <w:fldChar w:fldCharType="separate"/>
    </w:r>
    <w:r w:rsidR="00BA06FA">
      <w:rPr>
        <w:b/>
        <w:bCs/>
        <w:noProof/>
      </w:rPr>
      <w:t>1</w:t>
    </w:r>
    <w:r>
      <w:rPr>
        <w:b/>
        <w:bCs/>
        <w:sz w:val="24"/>
        <w:szCs w:val="24"/>
      </w:rPr>
      <w:fldChar w:fldCharType="end"/>
    </w:r>
    <w:r w:rsidR="00A42717">
      <w:rPr>
        <w:lang w:val="zh-CN"/>
      </w:rPr>
      <w:t xml:space="preserve"> / </w:t>
    </w:r>
    <w:r>
      <w:rPr>
        <w:b/>
        <w:bCs/>
        <w:sz w:val="24"/>
        <w:szCs w:val="24"/>
      </w:rPr>
      <w:fldChar w:fldCharType="begin"/>
    </w:r>
    <w:r w:rsidR="00A42717">
      <w:rPr>
        <w:b/>
        <w:bCs/>
      </w:rPr>
      <w:instrText>NUMPAGES</w:instrText>
    </w:r>
    <w:r>
      <w:rPr>
        <w:b/>
        <w:bCs/>
        <w:sz w:val="24"/>
        <w:szCs w:val="24"/>
      </w:rPr>
      <w:fldChar w:fldCharType="separate"/>
    </w:r>
    <w:r w:rsidR="00BA06FA">
      <w:rPr>
        <w:b/>
        <w:bCs/>
        <w:noProof/>
      </w:rPr>
      <w:t>4</w:t>
    </w:r>
    <w:r>
      <w:rPr>
        <w:b/>
        <w:bCs/>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5263" w:rsidRDefault="00215263" w:rsidP="00425B93">
      <w:r>
        <w:separator/>
      </w:r>
    </w:p>
  </w:footnote>
  <w:footnote w:type="continuationSeparator" w:id="1">
    <w:p w:rsidR="00215263" w:rsidRDefault="00215263" w:rsidP="00425B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717" w:rsidRDefault="00A42717">
    <w:r>
      <w:rPr>
        <w:noProof/>
      </w:rPr>
      <w:drawing>
        <wp:anchor distT="0" distB="0" distL="114300" distR="114300" simplePos="0" relativeHeight="251657216" behindDoc="0" locked="0" layoutInCell="1" allowOverlap="1">
          <wp:simplePos x="0" y="0"/>
          <wp:positionH relativeFrom="column">
            <wp:posOffset>-159385</wp:posOffset>
          </wp:positionH>
          <wp:positionV relativeFrom="paragraph">
            <wp:posOffset>-86995</wp:posOffset>
          </wp:positionV>
          <wp:extent cx="6572250" cy="960120"/>
          <wp:effectExtent l="0" t="0" r="0" b="0"/>
          <wp:wrapNone/>
          <wp:docPr id="2"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1"/>
                  <pic:cNvPicPr>
                    <a:picLocks noChangeAspect="1" noChangeArrowheads="1"/>
                  </pic:cNvPicPr>
                </pic:nvPicPr>
                <pic:blipFill>
                  <a:blip r:embed="rId1"/>
                  <a:srcRect/>
                  <a:stretch>
                    <a:fillRect/>
                  </a:stretch>
                </pic:blipFill>
                <pic:spPr>
                  <a:xfrm>
                    <a:off x="0" y="0"/>
                    <a:ext cx="6572250" cy="960120"/>
                  </a:xfrm>
                  <a:prstGeom prst="rect">
                    <a:avLst/>
                  </a:prstGeom>
                  <a:noFill/>
                  <a:ln w="9525">
                    <a:noFill/>
                    <a:miter lim="800000"/>
                    <a:headEnd/>
                    <a:tailEnd/>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noPunctuationKerning/>
  <w:characterSpacingControl w:val="compressPunctuation"/>
  <w:hdrShapeDefaults>
    <o:shapedefaults v:ext="edit" spidmax="4098"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C369D8"/>
    <w:rsid w:val="000010D0"/>
    <w:rsid w:val="00002556"/>
    <w:rsid w:val="0000554E"/>
    <w:rsid w:val="000122C0"/>
    <w:rsid w:val="0002257C"/>
    <w:rsid w:val="000231FC"/>
    <w:rsid w:val="0002324E"/>
    <w:rsid w:val="00034FAF"/>
    <w:rsid w:val="0003553B"/>
    <w:rsid w:val="00042427"/>
    <w:rsid w:val="00042764"/>
    <w:rsid w:val="00042873"/>
    <w:rsid w:val="000454FC"/>
    <w:rsid w:val="00055D93"/>
    <w:rsid w:val="00056136"/>
    <w:rsid w:val="00061347"/>
    <w:rsid w:val="000621B9"/>
    <w:rsid w:val="00081EAE"/>
    <w:rsid w:val="00083518"/>
    <w:rsid w:val="000859B7"/>
    <w:rsid w:val="0009237B"/>
    <w:rsid w:val="000954D9"/>
    <w:rsid w:val="00095B0D"/>
    <w:rsid w:val="00096D00"/>
    <w:rsid w:val="000975F2"/>
    <w:rsid w:val="00097D22"/>
    <w:rsid w:val="000B7DCB"/>
    <w:rsid w:val="000C01AE"/>
    <w:rsid w:val="000C37AE"/>
    <w:rsid w:val="000C5E3C"/>
    <w:rsid w:val="000C6E3E"/>
    <w:rsid w:val="000D3AE7"/>
    <w:rsid w:val="000D66D1"/>
    <w:rsid w:val="000E0ADE"/>
    <w:rsid w:val="000E18DE"/>
    <w:rsid w:val="00100F1E"/>
    <w:rsid w:val="00104D50"/>
    <w:rsid w:val="0011726E"/>
    <w:rsid w:val="00117346"/>
    <w:rsid w:val="00120758"/>
    <w:rsid w:val="00125836"/>
    <w:rsid w:val="0013195D"/>
    <w:rsid w:val="00132EE3"/>
    <w:rsid w:val="001506B4"/>
    <w:rsid w:val="001509C7"/>
    <w:rsid w:val="001579D7"/>
    <w:rsid w:val="001920F8"/>
    <w:rsid w:val="001926AE"/>
    <w:rsid w:val="001976D2"/>
    <w:rsid w:val="001A120B"/>
    <w:rsid w:val="001A2411"/>
    <w:rsid w:val="001A743B"/>
    <w:rsid w:val="001B24C3"/>
    <w:rsid w:val="001C129A"/>
    <w:rsid w:val="001C16F3"/>
    <w:rsid w:val="001C7138"/>
    <w:rsid w:val="001D2FB1"/>
    <w:rsid w:val="001D401A"/>
    <w:rsid w:val="001E061F"/>
    <w:rsid w:val="001E18EF"/>
    <w:rsid w:val="001E47C8"/>
    <w:rsid w:val="001F0DA2"/>
    <w:rsid w:val="001F16C3"/>
    <w:rsid w:val="00206A17"/>
    <w:rsid w:val="0021019F"/>
    <w:rsid w:val="002103EB"/>
    <w:rsid w:val="00210D3A"/>
    <w:rsid w:val="00215263"/>
    <w:rsid w:val="00224097"/>
    <w:rsid w:val="00227E85"/>
    <w:rsid w:val="002442BD"/>
    <w:rsid w:val="0024665B"/>
    <w:rsid w:val="00256A6A"/>
    <w:rsid w:val="00257616"/>
    <w:rsid w:val="00271E57"/>
    <w:rsid w:val="002741DA"/>
    <w:rsid w:val="00276A09"/>
    <w:rsid w:val="00283C8F"/>
    <w:rsid w:val="00285A99"/>
    <w:rsid w:val="00296011"/>
    <w:rsid w:val="00297253"/>
    <w:rsid w:val="002A079F"/>
    <w:rsid w:val="002B0169"/>
    <w:rsid w:val="002B0D1D"/>
    <w:rsid w:val="002B2657"/>
    <w:rsid w:val="002B6ADE"/>
    <w:rsid w:val="002C18C6"/>
    <w:rsid w:val="002C2D7A"/>
    <w:rsid w:val="002C4077"/>
    <w:rsid w:val="002C7BE8"/>
    <w:rsid w:val="002D13D5"/>
    <w:rsid w:val="002D181C"/>
    <w:rsid w:val="002D601B"/>
    <w:rsid w:val="002E0C24"/>
    <w:rsid w:val="002E126F"/>
    <w:rsid w:val="002F3747"/>
    <w:rsid w:val="002F5C5E"/>
    <w:rsid w:val="003007EA"/>
    <w:rsid w:val="0030307D"/>
    <w:rsid w:val="003031C6"/>
    <w:rsid w:val="00310AF1"/>
    <w:rsid w:val="00310E61"/>
    <w:rsid w:val="0031326C"/>
    <w:rsid w:val="003152BF"/>
    <w:rsid w:val="003244A8"/>
    <w:rsid w:val="00326AE7"/>
    <w:rsid w:val="00332F02"/>
    <w:rsid w:val="0034304F"/>
    <w:rsid w:val="003444E6"/>
    <w:rsid w:val="00347618"/>
    <w:rsid w:val="00352F7B"/>
    <w:rsid w:val="00361C9D"/>
    <w:rsid w:val="003729EA"/>
    <w:rsid w:val="00374A4A"/>
    <w:rsid w:val="00384FD4"/>
    <w:rsid w:val="00385706"/>
    <w:rsid w:val="003A07EE"/>
    <w:rsid w:val="003A6322"/>
    <w:rsid w:val="003A7A0F"/>
    <w:rsid w:val="003B067E"/>
    <w:rsid w:val="003B0C3A"/>
    <w:rsid w:val="003B2CC9"/>
    <w:rsid w:val="003B45E3"/>
    <w:rsid w:val="003B5E5A"/>
    <w:rsid w:val="003C0125"/>
    <w:rsid w:val="003D2B4B"/>
    <w:rsid w:val="003D3B2B"/>
    <w:rsid w:val="003E38BB"/>
    <w:rsid w:val="003F06B6"/>
    <w:rsid w:val="003F09D5"/>
    <w:rsid w:val="003F58B5"/>
    <w:rsid w:val="003F637A"/>
    <w:rsid w:val="003F7652"/>
    <w:rsid w:val="003F7797"/>
    <w:rsid w:val="00401C78"/>
    <w:rsid w:val="00406669"/>
    <w:rsid w:val="00406940"/>
    <w:rsid w:val="0041101D"/>
    <w:rsid w:val="00413E34"/>
    <w:rsid w:val="00416A58"/>
    <w:rsid w:val="00421CB0"/>
    <w:rsid w:val="00425B93"/>
    <w:rsid w:val="00427563"/>
    <w:rsid w:val="00431FF1"/>
    <w:rsid w:val="004336DA"/>
    <w:rsid w:val="00436603"/>
    <w:rsid w:val="004447E0"/>
    <w:rsid w:val="00445BA4"/>
    <w:rsid w:val="004479F7"/>
    <w:rsid w:val="00447C7F"/>
    <w:rsid w:val="004511D1"/>
    <w:rsid w:val="00452EE9"/>
    <w:rsid w:val="004540A4"/>
    <w:rsid w:val="004626DB"/>
    <w:rsid w:val="00465952"/>
    <w:rsid w:val="00467614"/>
    <w:rsid w:val="00474A63"/>
    <w:rsid w:val="00481DEF"/>
    <w:rsid w:val="00486C72"/>
    <w:rsid w:val="00490DF0"/>
    <w:rsid w:val="004923F3"/>
    <w:rsid w:val="00496715"/>
    <w:rsid w:val="004A37B6"/>
    <w:rsid w:val="004A6D16"/>
    <w:rsid w:val="004A7042"/>
    <w:rsid w:val="004B0ECE"/>
    <w:rsid w:val="004B591F"/>
    <w:rsid w:val="004B710B"/>
    <w:rsid w:val="004C15C4"/>
    <w:rsid w:val="004C180F"/>
    <w:rsid w:val="004C7BF0"/>
    <w:rsid w:val="004D0D2D"/>
    <w:rsid w:val="004E373F"/>
    <w:rsid w:val="004E65FF"/>
    <w:rsid w:val="004F2BE7"/>
    <w:rsid w:val="004F45B9"/>
    <w:rsid w:val="00502ACC"/>
    <w:rsid w:val="00503A58"/>
    <w:rsid w:val="005066D8"/>
    <w:rsid w:val="00507F9C"/>
    <w:rsid w:val="005107A7"/>
    <w:rsid w:val="0051310F"/>
    <w:rsid w:val="0052098E"/>
    <w:rsid w:val="005271A4"/>
    <w:rsid w:val="00534065"/>
    <w:rsid w:val="005355A3"/>
    <w:rsid w:val="00546D0A"/>
    <w:rsid w:val="00555FBF"/>
    <w:rsid w:val="00557C17"/>
    <w:rsid w:val="00565163"/>
    <w:rsid w:val="005662B2"/>
    <w:rsid w:val="005675F5"/>
    <w:rsid w:val="00573B6E"/>
    <w:rsid w:val="00575304"/>
    <w:rsid w:val="005774D8"/>
    <w:rsid w:val="00582040"/>
    <w:rsid w:val="005824ED"/>
    <w:rsid w:val="005932FA"/>
    <w:rsid w:val="005933BF"/>
    <w:rsid w:val="005968A6"/>
    <w:rsid w:val="00596A9F"/>
    <w:rsid w:val="005A00AB"/>
    <w:rsid w:val="005A4B38"/>
    <w:rsid w:val="005B2317"/>
    <w:rsid w:val="005B3D59"/>
    <w:rsid w:val="005B4AB4"/>
    <w:rsid w:val="005B730A"/>
    <w:rsid w:val="005C11F0"/>
    <w:rsid w:val="005D0006"/>
    <w:rsid w:val="005D0E30"/>
    <w:rsid w:val="005D25D3"/>
    <w:rsid w:val="005D39AC"/>
    <w:rsid w:val="005F1783"/>
    <w:rsid w:val="00600EC6"/>
    <w:rsid w:val="00622AB9"/>
    <w:rsid w:val="00625AA9"/>
    <w:rsid w:val="006349CA"/>
    <w:rsid w:val="00635FD4"/>
    <w:rsid w:val="00642D07"/>
    <w:rsid w:val="00643616"/>
    <w:rsid w:val="0066217A"/>
    <w:rsid w:val="006672C3"/>
    <w:rsid w:val="00677E78"/>
    <w:rsid w:val="00680FDB"/>
    <w:rsid w:val="00691224"/>
    <w:rsid w:val="00696609"/>
    <w:rsid w:val="006978CE"/>
    <w:rsid w:val="006A598C"/>
    <w:rsid w:val="006B042D"/>
    <w:rsid w:val="006B1C89"/>
    <w:rsid w:val="006C1497"/>
    <w:rsid w:val="006C153F"/>
    <w:rsid w:val="006C2CE0"/>
    <w:rsid w:val="006C4E1F"/>
    <w:rsid w:val="006C6A31"/>
    <w:rsid w:val="006D5503"/>
    <w:rsid w:val="006D7003"/>
    <w:rsid w:val="006F3D10"/>
    <w:rsid w:val="006F4F5E"/>
    <w:rsid w:val="00702A16"/>
    <w:rsid w:val="007052B7"/>
    <w:rsid w:val="007073D0"/>
    <w:rsid w:val="0071266E"/>
    <w:rsid w:val="00712819"/>
    <w:rsid w:val="00717C95"/>
    <w:rsid w:val="00723332"/>
    <w:rsid w:val="007239D9"/>
    <w:rsid w:val="007245D4"/>
    <w:rsid w:val="007254EF"/>
    <w:rsid w:val="007260F5"/>
    <w:rsid w:val="007348C2"/>
    <w:rsid w:val="0073565A"/>
    <w:rsid w:val="00743B7E"/>
    <w:rsid w:val="007444F1"/>
    <w:rsid w:val="00745C9B"/>
    <w:rsid w:val="007657F9"/>
    <w:rsid w:val="00780474"/>
    <w:rsid w:val="0078553C"/>
    <w:rsid w:val="007A0D76"/>
    <w:rsid w:val="007B0AC6"/>
    <w:rsid w:val="007B469A"/>
    <w:rsid w:val="007C2544"/>
    <w:rsid w:val="007C5C22"/>
    <w:rsid w:val="007D0B2F"/>
    <w:rsid w:val="007D352B"/>
    <w:rsid w:val="007D6F55"/>
    <w:rsid w:val="007E48EC"/>
    <w:rsid w:val="007E5D38"/>
    <w:rsid w:val="007F3994"/>
    <w:rsid w:val="007F6E63"/>
    <w:rsid w:val="00803FD8"/>
    <w:rsid w:val="00821AD8"/>
    <w:rsid w:val="00827383"/>
    <w:rsid w:val="0082799B"/>
    <w:rsid w:val="008311D7"/>
    <w:rsid w:val="00835EBF"/>
    <w:rsid w:val="00837756"/>
    <w:rsid w:val="00837A89"/>
    <w:rsid w:val="008434F6"/>
    <w:rsid w:val="00845B56"/>
    <w:rsid w:val="00850865"/>
    <w:rsid w:val="0086468C"/>
    <w:rsid w:val="008659C3"/>
    <w:rsid w:val="0087641A"/>
    <w:rsid w:val="008771DC"/>
    <w:rsid w:val="008822AF"/>
    <w:rsid w:val="0088469D"/>
    <w:rsid w:val="008909A0"/>
    <w:rsid w:val="008921F6"/>
    <w:rsid w:val="00892668"/>
    <w:rsid w:val="008928FA"/>
    <w:rsid w:val="0089358A"/>
    <w:rsid w:val="00895034"/>
    <w:rsid w:val="0089746A"/>
    <w:rsid w:val="008A028A"/>
    <w:rsid w:val="008A21BD"/>
    <w:rsid w:val="008A554A"/>
    <w:rsid w:val="008B018A"/>
    <w:rsid w:val="008B1306"/>
    <w:rsid w:val="008B16FD"/>
    <w:rsid w:val="008B1727"/>
    <w:rsid w:val="008D316C"/>
    <w:rsid w:val="008D7C2D"/>
    <w:rsid w:val="008E0357"/>
    <w:rsid w:val="008E330F"/>
    <w:rsid w:val="008F28E5"/>
    <w:rsid w:val="008F607F"/>
    <w:rsid w:val="009126BF"/>
    <w:rsid w:val="00914095"/>
    <w:rsid w:val="0093069B"/>
    <w:rsid w:val="00940BC4"/>
    <w:rsid w:val="00946744"/>
    <w:rsid w:val="00952575"/>
    <w:rsid w:val="00954643"/>
    <w:rsid w:val="00955624"/>
    <w:rsid w:val="00963CF6"/>
    <w:rsid w:val="0096617E"/>
    <w:rsid w:val="00967D1A"/>
    <w:rsid w:val="00991663"/>
    <w:rsid w:val="00994E0D"/>
    <w:rsid w:val="00994F1C"/>
    <w:rsid w:val="00996858"/>
    <w:rsid w:val="009A2789"/>
    <w:rsid w:val="009B04DF"/>
    <w:rsid w:val="009B19FE"/>
    <w:rsid w:val="009C5994"/>
    <w:rsid w:val="009D4DDF"/>
    <w:rsid w:val="009E1606"/>
    <w:rsid w:val="009E5951"/>
    <w:rsid w:val="009F1707"/>
    <w:rsid w:val="009F24B7"/>
    <w:rsid w:val="009F4F26"/>
    <w:rsid w:val="009F51AC"/>
    <w:rsid w:val="009F5938"/>
    <w:rsid w:val="00A0180D"/>
    <w:rsid w:val="00A01A15"/>
    <w:rsid w:val="00A01B02"/>
    <w:rsid w:val="00A040F4"/>
    <w:rsid w:val="00A07EB6"/>
    <w:rsid w:val="00A13214"/>
    <w:rsid w:val="00A152CF"/>
    <w:rsid w:val="00A20A87"/>
    <w:rsid w:val="00A42717"/>
    <w:rsid w:val="00A43356"/>
    <w:rsid w:val="00A44E68"/>
    <w:rsid w:val="00A4717D"/>
    <w:rsid w:val="00A50C38"/>
    <w:rsid w:val="00A51B39"/>
    <w:rsid w:val="00A52706"/>
    <w:rsid w:val="00A550C7"/>
    <w:rsid w:val="00A60DB1"/>
    <w:rsid w:val="00A60EEC"/>
    <w:rsid w:val="00A63BEB"/>
    <w:rsid w:val="00A77EB2"/>
    <w:rsid w:val="00A843E1"/>
    <w:rsid w:val="00A854B9"/>
    <w:rsid w:val="00A907EF"/>
    <w:rsid w:val="00A957A0"/>
    <w:rsid w:val="00AA0C9F"/>
    <w:rsid w:val="00AA0E3B"/>
    <w:rsid w:val="00AA181B"/>
    <w:rsid w:val="00AA2CC8"/>
    <w:rsid w:val="00AA2EEC"/>
    <w:rsid w:val="00AB60FE"/>
    <w:rsid w:val="00AB6E1B"/>
    <w:rsid w:val="00AC163C"/>
    <w:rsid w:val="00AC2FF0"/>
    <w:rsid w:val="00AC34EA"/>
    <w:rsid w:val="00AC5832"/>
    <w:rsid w:val="00AD33D2"/>
    <w:rsid w:val="00AD3407"/>
    <w:rsid w:val="00AE4AE0"/>
    <w:rsid w:val="00B14392"/>
    <w:rsid w:val="00B164E8"/>
    <w:rsid w:val="00B375BD"/>
    <w:rsid w:val="00B411FB"/>
    <w:rsid w:val="00B532E7"/>
    <w:rsid w:val="00B53AE3"/>
    <w:rsid w:val="00B57592"/>
    <w:rsid w:val="00B57BD9"/>
    <w:rsid w:val="00B630E4"/>
    <w:rsid w:val="00B635D9"/>
    <w:rsid w:val="00B66433"/>
    <w:rsid w:val="00B75C51"/>
    <w:rsid w:val="00B775D6"/>
    <w:rsid w:val="00B8215D"/>
    <w:rsid w:val="00B832F4"/>
    <w:rsid w:val="00B87525"/>
    <w:rsid w:val="00B91C0B"/>
    <w:rsid w:val="00BA06FA"/>
    <w:rsid w:val="00BA3122"/>
    <w:rsid w:val="00BA7CA3"/>
    <w:rsid w:val="00BB0AF1"/>
    <w:rsid w:val="00BB21A9"/>
    <w:rsid w:val="00BB2BFA"/>
    <w:rsid w:val="00BB6DAB"/>
    <w:rsid w:val="00BC2846"/>
    <w:rsid w:val="00BC4F28"/>
    <w:rsid w:val="00BC556E"/>
    <w:rsid w:val="00BC796B"/>
    <w:rsid w:val="00BD056B"/>
    <w:rsid w:val="00BD2D1F"/>
    <w:rsid w:val="00BD4773"/>
    <w:rsid w:val="00BE4913"/>
    <w:rsid w:val="00BE74DD"/>
    <w:rsid w:val="00BF01BE"/>
    <w:rsid w:val="00BF26D5"/>
    <w:rsid w:val="00BF2E50"/>
    <w:rsid w:val="00BF629F"/>
    <w:rsid w:val="00BF7F02"/>
    <w:rsid w:val="00C0314E"/>
    <w:rsid w:val="00C06551"/>
    <w:rsid w:val="00C11ECD"/>
    <w:rsid w:val="00C12665"/>
    <w:rsid w:val="00C1439A"/>
    <w:rsid w:val="00C16ECC"/>
    <w:rsid w:val="00C17B78"/>
    <w:rsid w:val="00C219C3"/>
    <w:rsid w:val="00C24FAC"/>
    <w:rsid w:val="00C25B2B"/>
    <w:rsid w:val="00C26197"/>
    <w:rsid w:val="00C31EDC"/>
    <w:rsid w:val="00C369D8"/>
    <w:rsid w:val="00C36F3D"/>
    <w:rsid w:val="00C40B5B"/>
    <w:rsid w:val="00C506BE"/>
    <w:rsid w:val="00C52218"/>
    <w:rsid w:val="00C81AD4"/>
    <w:rsid w:val="00C84655"/>
    <w:rsid w:val="00C91F75"/>
    <w:rsid w:val="00C94CA6"/>
    <w:rsid w:val="00CA488F"/>
    <w:rsid w:val="00CA69BF"/>
    <w:rsid w:val="00CB00E5"/>
    <w:rsid w:val="00CB20E0"/>
    <w:rsid w:val="00CB381D"/>
    <w:rsid w:val="00CB3A42"/>
    <w:rsid w:val="00CC444B"/>
    <w:rsid w:val="00CC47A7"/>
    <w:rsid w:val="00CE0792"/>
    <w:rsid w:val="00CE11F4"/>
    <w:rsid w:val="00CE1360"/>
    <w:rsid w:val="00CE2DAB"/>
    <w:rsid w:val="00CE7BB7"/>
    <w:rsid w:val="00CF7C2D"/>
    <w:rsid w:val="00D005B7"/>
    <w:rsid w:val="00D025F8"/>
    <w:rsid w:val="00D02DE8"/>
    <w:rsid w:val="00D03A88"/>
    <w:rsid w:val="00D0424E"/>
    <w:rsid w:val="00D108BC"/>
    <w:rsid w:val="00D138BF"/>
    <w:rsid w:val="00D1481F"/>
    <w:rsid w:val="00D21BAE"/>
    <w:rsid w:val="00D30AC5"/>
    <w:rsid w:val="00D31FB5"/>
    <w:rsid w:val="00D4212B"/>
    <w:rsid w:val="00D4252F"/>
    <w:rsid w:val="00D46195"/>
    <w:rsid w:val="00D57D68"/>
    <w:rsid w:val="00D703C5"/>
    <w:rsid w:val="00D71E24"/>
    <w:rsid w:val="00D91195"/>
    <w:rsid w:val="00D91332"/>
    <w:rsid w:val="00D9223E"/>
    <w:rsid w:val="00DA72A7"/>
    <w:rsid w:val="00DA7EBC"/>
    <w:rsid w:val="00DB348C"/>
    <w:rsid w:val="00DC176E"/>
    <w:rsid w:val="00DC1981"/>
    <w:rsid w:val="00DC1DF0"/>
    <w:rsid w:val="00DC2F34"/>
    <w:rsid w:val="00DC3069"/>
    <w:rsid w:val="00DD277D"/>
    <w:rsid w:val="00DD3D52"/>
    <w:rsid w:val="00DD78DA"/>
    <w:rsid w:val="00DE065F"/>
    <w:rsid w:val="00E0473C"/>
    <w:rsid w:val="00E108AC"/>
    <w:rsid w:val="00E112B2"/>
    <w:rsid w:val="00E123FC"/>
    <w:rsid w:val="00E164E9"/>
    <w:rsid w:val="00E17CF0"/>
    <w:rsid w:val="00E21D5E"/>
    <w:rsid w:val="00E224ED"/>
    <w:rsid w:val="00E30EE3"/>
    <w:rsid w:val="00E3106B"/>
    <w:rsid w:val="00E372BD"/>
    <w:rsid w:val="00E4144F"/>
    <w:rsid w:val="00E42BFC"/>
    <w:rsid w:val="00E456EC"/>
    <w:rsid w:val="00E46F96"/>
    <w:rsid w:val="00E532F5"/>
    <w:rsid w:val="00E60625"/>
    <w:rsid w:val="00E61EC3"/>
    <w:rsid w:val="00E730EC"/>
    <w:rsid w:val="00E82B4A"/>
    <w:rsid w:val="00E83CDA"/>
    <w:rsid w:val="00E851B3"/>
    <w:rsid w:val="00E91243"/>
    <w:rsid w:val="00E934ED"/>
    <w:rsid w:val="00E9419D"/>
    <w:rsid w:val="00E94F32"/>
    <w:rsid w:val="00E96B58"/>
    <w:rsid w:val="00EA4DCF"/>
    <w:rsid w:val="00EB14CE"/>
    <w:rsid w:val="00EB6044"/>
    <w:rsid w:val="00EC0927"/>
    <w:rsid w:val="00EC3FC3"/>
    <w:rsid w:val="00EC4688"/>
    <w:rsid w:val="00ED2FAC"/>
    <w:rsid w:val="00EE3887"/>
    <w:rsid w:val="00EE6A31"/>
    <w:rsid w:val="00F00806"/>
    <w:rsid w:val="00F03041"/>
    <w:rsid w:val="00F03E18"/>
    <w:rsid w:val="00F04B87"/>
    <w:rsid w:val="00F14AD3"/>
    <w:rsid w:val="00F23668"/>
    <w:rsid w:val="00F24F61"/>
    <w:rsid w:val="00F30E19"/>
    <w:rsid w:val="00F32A8F"/>
    <w:rsid w:val="00F364F9"/>
    <w:rsid w:val="00F42CDF"/>
    <w:rsid w:val="00F468DD"/>
    <w:rsid w:val="00F46A23"/>
    <w:rsid w:val="00F54068"/>
    <w:rsid w:val="00F620C5"/>
    <w:rsid w:val="00F634BD"/>
    <w:rsid w:val="00F66E6C"/>
    <w:rsid w:val="00F67907"/>
    <w:rsid w:val="00F715AD"/>
    <w:rsid w:val="00F72CF6"/>
    <w:rsid w:val="00F74107"/>
    <w:rsid w:val="00F77B61"/>
    <w:rsid w:val="00F80EF1"/>
    <w:rsid w:val="00F95446"/>
    <w:rsid w:val="00FA1269"/>
    <w:rsid w:val="00FA6402"/>
    <w:rsid w:val="00FB0079"/>
    <w:rsid w:val="00FC1D79"/>
    <w:rsid w:val="00FC75E4"/>
    <w:rsid w:val="00FD1557"/>
    <w:rsid w:val="00FD2E1B"/>
    <w:rsid w:val="00FE6C5C"/>
    <w:rsid w:val="0160243D"/>
    <w:rsid w:val="01816FE1"/>
    <w:rsid w:val="01863D8F"/>
    <w:rsid w:val="01AC1277"/>
    <w:rsid w:val="027F46EC"/>
    <w:rsid w:val="02AE28BD"/>
    <w:rsid w:val="02BF0F28"/>
    <w:rsid w:val="02E45DE4"/>
    <w:rsid w:val="02E71291"/>
    <w:rsid w:val="02F93F59"/>
    <w:rsid w:val="03303529"/>
    <w:rsid w:val="033E16DB"/>
    <w:rsid w:val="037D4297"/>
    <w:rsid w:val="03B87C59"/>
    <w:rsid w:val="03F4031A"/>
    <w:rsid w:val="04377B67"/>
    <w:rsid w:val="04461BE2"/>
    <w:rsid w:val="04BD430A"/>
    <w:rsid w:val="050F2C36"/>
    <w:rsid w:val="05283BD5"/>
    <w:rsid w:val="054B0888"/>
    <w:rsid w:val="056D0CDB"/>
    <w:rsid w:val="0624077E"/>
    <w:rsid w:val="0663337E"/>
    <w:rsid w:val="066A638E"/>
    <w:rsid w:val="066C3A7F"/>
    <w:rsid w:val="079550E8"/>
    <w:rsid w:val="07AB4D59"/>
    <w:rsid w:val="07D0093E"/>
    <w:rsid w:val="07ED1FE1"/>
    <w:rsid w:val="080E1598"/>
    <w:rsid w:val="08683E7A"/>
    <w:rsid w:val="08AA58C0"/>
    <w:rsid w:val="08BE6116"/>
    <w:rsid w:val="0985325D"/>
    <w:rsid w:val="09950A5F"/>
    <w:rsid w:val="09AE7E2A"/>
    <w:rsid w:val="0A1550C6"/>
    <w:rsid w:val="0BA60220"/>
    <w:rsid w:val="0CA70225"/>
    <w:rsid w:val="0CB12198"/>
    <w:rsid w:val="0CB90719"/>
    <w:rsid w:val="0D2B6F5E"/>
    <w:rsid w:val="0D2D10CA"/>
    <w:rsid w:val="0D341B03"/>
    <w:rsid w:val="0D56611F"/>
    <w:rsid w:val="0DB73C33"/>
    <w:rsid w:val="0EA77DDE"/>
    <w:rsid w:val="0EE67F6F"/>
    <w:rsid w:val="0F760024"/>
    <w:rsid w:val="0F910972"/>
    <w:rsid w:val="0FD0100C"/>
    <w:rsid w:val="0FFA791E"/>
    <w:rsid w:val="102349BD"/>
    <w:rsid w:val="10415F60"/>
    <w:rsid w:val="105E2029"/>
    <w:rsid w:val="10990334"/>
    <w:rsid w:val="10D07292"/>
    <w:rsid w:val="10F975CA"/>
    <w:rsid w:val="11205136"/>
    <w:rsid w:val="113314C5"/>
    <w:rsid w:val="11665F71"/>
    <w:rsid w:val="12996E42"/>
    <w:rsid w:val="12AF59DD"/>
    <w:rsid w:val="12D75A17"/>
    <w:rsid w:val="132B75C6"/>
    <w:rsid w:val="133E1852"/>
    <w:rsid w:val="136879B7"/>
    <w:rsid w:val="13871412"/>
    <w:rsid w:val="13877869"/>
    <w:rsid w:val="13BB1ABB"/>
    <w:rsid w:val="14040DAA"/>
    <w:rsid w:val="14136B22"/>
    <w:rsid w:val="14A035E4"/>
    <w:rsid w:val="15E67069"/>
    <w:rsid w:val="15E71784"/>
    <w:rsid w:val="15F24F48"/>
    <w:rsid w:val="16454062"/>
    <w:rsid w:val="16952078"/>
    <w:rsid w:val="16AB5E24"/>
    <w:rsid w:val="17530F23"/>
    <w:rsid w:val="179227EF"/>
    <w:rsid w:val="17B431F0"/>
    <w:rsid w:val="1846401B"/>
    <w:rsid w:val="187077BE"/>
    <w:rsid w:val="18837106"/>
    <w:rsid w:val="18984276"/>
    <w:rsid w:val="18D66A4D"/>
    <w:rsid w:val="19D77E57"/>
    <w:rsid w:val="19F213A9"/>
    <w:rsid w:val="1A23487A"/>
    <w:rsid w:val="1A363992"/>
    <w:rsid w:val="1A4C0A57"/>
    <w:rsid w:val="1AEC3DAE"/>
    <w:rsid w:val="1B5F13FA"/>
    <w:rsid w:val="1BB20667"/>
    <w:rsid w:val="1BCD2C42"/>
    <w:rsid w:val="1C0C223D"/>
    <w:rsid w:val="1C6B00AA"/>
    <w:rsid w:val="1C8D02B1"/>
    <w:rsid w:val="1CCD2B69"/>
    <w:rsid w:val="1D3B3FB1"/>
    <w:rsid w:val="1D6C2276"/>
    <w:rsid w:val="1DD02050"/>
    <w:rsid w:val="1E0A319A"/>
    <w:rsid w:val="1E1C7F42"/>
    <w:rsid w:val="1F432FC8"/>
    <w:rsid w:val="1F7124DC"/>
    <w:rsid w:val="1FA175ED"/>
    <w:rsid w:val="1FCC440D"/>
    <w:rsid w:val="1FDD3F65"/>
    <w:rsid w:val="200D3308"/>
    <w:rsid w:val="202A4A3F"/>
    <w:rsid w:val="20306A71"/>
    <w:rsid w:val="2056509D"/>
    <w:rsid w:val="206D295A"/>
    <w:rsid w:val="20746198"/>
    <w:rsid w:val="20AE23D5"/>
    <w:rsid w:val="20C211F6"/>
    <w:rsid w:val="21073C22"/>
    <w:rsid w:val="210746F6"/>
    <w:rsid w:val="21843C3B"/>
    <w:rsid w:val="21A43BCD"/>
    <w:rsid w:val="21F74944"/>
    <w:rsid w:val="22781700"/>
    <w:rsid w:val="22F61C79"/>
    <w:rsid w:val="23297126"/>
    <w:rsid w:val="23601170"/>
    <w:rsid w:val="237E147F"/>
    <w:rsid w:val="23C26D80"/>
    <w:rsid w:val="2405310F"/>
    <w:rsid w:val="240B58E3"/>
    <w:rsid w:val="24A00C11"/>
    <w:rsid w:val="24A97BFD"/>
    <w:rsid w:val="24AC68E4"/>
    <w:rsid w:val="24F6100A"/>
    <w:rsid w:val="250F1021"/>
    <w:rsid w:val="252F069C"/>
    <w:rsid w:val="253E09CA"/>
    <w:rsid w:val="254D4ADC"/>
    <w:rsid w:val="255715D3"/>
    <w:rsid w:val="25B84580"/>
    <w:rsid w:val="25C85067"/>
    <w:rsid w:val="261F7E9A"/>
    <w:rsid w:val="2636279F"/>
    <w:rsid w:val="2749324F"/>
    <w:rsid w:val="279E2346"/>
    <w:rsid w:val="27B90624"/>
    <w:rsid w:val="28DB0D7D"/>
    <w:rsid w:val="2918140C"/>
    <w:rsid w:val="29193FB0"/>
    <w:rsid w:val="291A6E72"/>
    <w:rsid w:val="298D3826"/>
    <w:rsid w:val="29B73182"/>
    <w:rsid w:val="29CE5723"/>
    <w:rsid w:val="29E00C04"/>
    <w:rsid w:val="2A1E455E"/>
    <w:rsid w:val="2A3B4721"/>
    <w:rsid w:val="2A7678DC"/>
    <w:rsid w:val="2AA1478D"/>
    <w:rsid w:val="2AE023F0"/>
    <w:rsid w:val="2AFF6188"/>
    <w:rsid w:val="2BF52979"/>
    <w:rsid w:val="2BF53FD2"/>
    <w:rsid w:val="2CA12087"/>
    <w:rsid w:val="2D111DEF"/>
    <w:rsid w:val="2D6839F8"/>
    <w:rsid w:val="2D95116B"/>
    <w:rsid w:val="2D96602B"/>
    <w:rsid w:val="2E595211"/>
    <w:rsid w:val="2E794A67"/>
    <w:rsid w:val="2F3F2C2C"/>
    <w:rsid w:val="2FA23D61"/>
    <w:rsid w:val="2FDE3A9D"/>
    <w:rsid w:val="300F57EA"/>
    <w:rsid w:val="30686B03"/>
    <w:rsid w:val="306F2AF3"/>
    <w:rsid w:val="30847E74"/>
    <w:rsid w:val="30D83F4C"/>
    <w:rsid w:val="30F84FEE"/>
    <w:rsid w:val="315B7806"/>
    <w:rsid w:val="315C7B79"/>
    <w:rsid w:val="31B42CC5"/>
    <w:rsid w:val="31CE5FAB"/>
    <w:rsid w:val="31D73773"/>
    <w:rsid w:val="32062F6F"/>
    <w:rsid w:val="324E6895"/>
    <w:rsid w:val="32715EB5"/>
    <w:rsid w:val="32800917"/>
    <w:rsid w:val="339F684B"/>
    <w:rsid w:val="33C15FC0"/>
    <w:rsid w:val="33EF6D96"/>
    <w:rsid w:val="34384468"/>
    <w:rsid w:val="34700396"/>
    <w:rsid w:val="35035FC1"/>
    <w:rsid w:val="366209C7"/>
    <w:rsid w:val="36774124"/>
    <w:rsid w:val="36840331"/>
    <w:rsid w:val="36AF3D7D"/>
    <w:rsid w:val="36E06634"/>
    <w:rsid w:val="38153C05"/>
    <w:rsid w:val="381D5766"/>
    <w:rsid w:val="386A66CD"/>
    <w:rsid w:val="386D5C19"/>
    <w:rsid w:val="38791F49"/>
    <w:rsid w:val="388135B1"/>
    <w:rsid w:val="389A34BD"/>
    <w:rsid w:val="38FD3952"/>
    <w:rsid w:val="394C23C7"/>
    <w:rsid w:val="39501B9D"/>
    <w:rsid w:val="396B6068"/>
    <w:rsid w:val="397451F2"/>
    <w:rsid w:val="3B0964DE"/>
    <w:rsid w:val="3B203DDD"/>
    <w:rsid w:val="3B3F065D"/>
    <w:rsid w:val="3B731129"/>
    <w:rsid w:val="3BAE55BB"/>
    <w:rsid w:val="3BD37F3F"/>
    <w:rsid w:val="3C3B4C7E"/>
    <w:rsid w:val="3C5B7756"/>
    <w:rsid w:val="3CC73498"/>
    <w:rsid w:val="3CC93EAE"/>
    <w:rsid w:val="3DC05C14"/>
    <w:rsid w:val="3DC9325E"/>
    <w:rsid w:val="3DD51177"/>
    <w:rsid w:val="3E202FF2"/>
    <w:rsid w:val="3E9C2CBB"/>
    <w:rsid w:val="3E9C6738"/>
    <w:rsid w:val="3E9D30E8"/>
    <w:rsid w:val="3EBF314B"/>
    <w:rsid w:val="3ECA17C4"/>
    <w:rsid w:val="3F4762E8"/>
    <w:rsid w:val="400601BA"/>
    <w:rsid w:val="404F6515"/>
    <w:rsid w:val="40F43FE4"/>
    <w:rsid w:val="41183E85"/>
    <w:rsid w:val="415B2754"/>
    <w:rsid w:val="418131C1"/>
    <w:rsid w:val="41B532FC"/>
    <w:rsid w:val="41DF1B66"/>
    <w:rsid w:val="42273DD4"/>
    <w:rsid w:val="4266637C"/>
    <w:rsid w:val="42F26AD3"/>
    <w:rsid w:val="434625E0"/>
    <w:rsid w:val="4369200D"/>
    <w:rsid w:val="436B31C8"/>
    <w:rsid w:val="439869CD"/>
    <w:rsid w:val="448842C5"/>
    <w:rsid w:val="44913D31"/>
    <w:rsid w:val="44924104"/>
    <w:rsid w:val="449653A5"/>
    <w:rsid w:val="44F72F0D"/>
    <w:rsid w:val="45005D04"/>
    <w:rsid w:val="4570650D"/>
    <w:rsid w:val="4596469B"/>
    <w:rsid w:val="45BB57E4"/>
    <w:rsid w:val="45DF13EC"/>
    <w:rsid w:val="45F1345F"/>
    <w:rsid w:val="4693574A"/>
    <w:rsid w:val="47017878"/>
    <w:rsid w:val="475D3250"/>
    <w:rsid w:val="476E1034"/>
    <w:rsid w:val="478720F7"/>
    <w:rsid w:val="47B25BDC"/>
    <w:rsid w:val="484E64AE"/>
    <w:rsid w:val="488C014B"/>
    <w:rsid w:val="48CD6F76"/>
    <w:rsid w:val="48D00095"/>
    <w:rsid w:val="48F44CC5"/>
    <w:rsid w:val="48FD3476"/>
    <w:rsid w:val="490B7058"/>
    <w:rsid w:val="49100820"/>
    <w:rsid w:val="49137882"/>
    <w:rsid w:val="49382E6B"/>
    <w:rsid w:val="49655C5E"/>
    <w:rsid w:val="49A87781"/>
    <w:rsid w:val="49DF1BA7"/>
    <w:rsid w:val="4A3A0886"/>
    <w:rsid w:val="4A3B6A3C"/>
    <w:rsid w:val="4ABC36A1"/>
    <w:rsid w:val="4B6B357F"/>
    <w:rsid w:val="4B9D1F20"/>
    <w:rsid w:val="4C1045CA"/>
    <w:rsid w:val="4C5F3B54"/>
    <w:rsid w:val="4D0C0113"/>
    <w:rsid w:val="4D230909"/>
    <w:rsid w:val="4D333733"/>
    <w:rsid w:val="4D52489F"/>
    <w:rsid w:val="4DBB271B"/>
    <w:rsid w:val="4E2E4927"/>
    <w:rsid w:val="4E9C5BBD"/>
    <w:rsid w:val="4EE74B9A"/>
    <w:rsid w:val="4F073DC5"/>
    <w:rsid w:val="4F57386B"/>
    <w:rsid w:val="4F796999"/>
    <w:rsid w:val="4F9A0C7A"/>
    <w:rsid w:val="4F9C09F0"/>
    <w:rsid w:val="51265F8E"/>
    <w:rsid w:val="51270F5C"/>
    <w:rsid w:val="517A2F93"/>
    <w:rsid w:val="5192285B"/>
    <w:rsid w:val="525642F5"/>
    <w:rsid w:val="52B7423E"/>
    <w:rsid w:val="53045679"/>
    <w:rsid w:val="5347483A"/>
    <w:rsid w:val="53817677"/>
    <w:rsid w:val="53B74BCF"/>
    <w:rsid w:val="543707B9"/>
    <w:rsid w:val="55276C8C"/>
    <w:rsid w:val="55600B99"/>
    <w:rsid w:val="55622AA1"/>
    <w:rsid w:val="55914FC5"/>
    <w:rsid w:val="55E17720"/>
    <w:rsid w:val="56450131"/>
    <w:rsid w:val="567310E6"/>
    <w:rsid w:val="56975FCC"/>
    <w:rsid w:val="56E76AA7"/>
    <w:rsid w:val="57A91042"/>
    <w:rsid w:val="586A3B94"/>
    <w:rsid w:val="58855B1F"/>
    <w:rsid w:val="58AC3D80"/>
    <w:rsid w:val="58BC4C4F"/>
    <w:rsid w:val="58C22C23"/>
    <w:rsid w:val="58D325B9"/>
    <w:rsid w:val="59117ECC"/>
    <w:rsid w:val="59986212"/>
    <w:rsid w:val="599F7BC0"/>
    <w:rsid w:val="59C7095E"/>
    <w:rsid w:val="5A9C0836"/>
    <w:rsid w:val="5A9E141F"/>
    <w:rsid w:val="5B3251AA"/>
    <w:rsid w:val="5B6A25BE"/>
    <w:rsid w:val="5BA83E1C"/>
    <w:rsid w:val="5BAF7E20"/>
    <w:rsid w:val="5BB70662"/>
    <w:rsid w:val="5BF115F8"/>
    <w:rsid w:val="5C3B477A"/>
    <w:rsid w:val="5CA95BA0"/>
    <w:rsid w:val="5CF362F7"/>
    <w:rsid w:val="5D293DBC"/>
    <w:rsid w:val="5D335A6E"/>
    <w:rsid w:val="5D40650D"/>
    <w:rsid w:val="5D42202E"/>
    <w:rsid w:val="5D6B137C"/>
    <w:rsid w:val="5D990D63"/>
    <w:rsid w:val="5DC911D5"/>
    <w:rsid w:val="5DF737D8"/>
    <w:rsid w:val="5DF85ED3"/>
    <w:rsid w:val="5EC269D5"/>
    <w:rsid w:val="5ECA360B"/>
    <w:rsid w:val="5ED71447"/>
    <w:rsid w:val="5EEF1A94"/>
    <w:rsid w:val="5F1963C7"/>
    <w:rsid w:val="5F8E4360"/>
    <w:rsid w:val="5FC80143"/>
    <w:rsid w:val="5FF436BD"/>
    <w:rsid w:val="600E5FA1"/>
    <w:rsid w:val="60642D23"/>
    <w:rsid w:val="61785F15"/>
    <w:rsid w:val="61BC2621"/>
    <w:rsid w:val="61F348C3"/>
    <w:rsid w:val="626D2881"/>
    <w:rsid w:val="627F0A56"/>
    <w:rsid w:val="629A13DD"/>
    <w:rsid w:val="63A37CB5"/>
    <w:rsid w:val="63B428B7"/>
    <w:rsid w:val="63B64360"/>
    <w:rsid w:val="64054BE9"/>
    <w:rsid w:val="644A1504"/>
    <w:rsid w:val="65406A99"/>
    <w:rsid w:val="65E06692"/>
    <w:rsid w:val="661B7CAC"/>
    <w:rsid w:val="66EB7098"/>
    <w:rsid w:val="671A1E93"/>
    <w:rsid w:val="676D16D3"/>
    <w:rsid w:val="67757A9C"/>
    <w:rsid w:val="67D6025A"/>
    <w:rsid w:val="67F35840"/>
    <w:rsid w:val="68006D92"/>
    <w:rsid w:val="680C35E2"/>
    <w:rsid w:val="68181AD0"/>
    <w:rsid w:val="6825736C"/>
    <w:rsid w:val="683B51FA"/>
    <w:rsid w:val="689D19D9"/>
    <w:rsid w:val="68E3771C"/>
    <w:rsid w:val="696433D2"/>
    <w:rsid w:val="69647E07"/>
    <w:rsid w:val="6A4813DA"/>
    <w:rsid w:val="6B1E4776"/>
    <w:rsid w:val="6B5E49AF"/>
    <w:rsid w:val="6C6A6B18"/>
    <w:rsid w:val="6C98085E"/>
    <w:rsid w:val="6CA77764"/>
    <w:rsid w:val="6CAE5701"/>
    <w:rsid w:val="6D3529BF"/>
    <w:rsid w:val="6D864EBC"/>
    <w:rsid w:val="6D945CDA"/>
    <w:rsid w:val="6DC05193"/>
    <w:rsid w:val="6E4232BD"/>
    <w:rsid w:val="6E5721B2"/>
    <w:rsid w:val="6EAF6D56"/>
    <w:rsid w:val="6F157216"/>
    <w:rsid w:val="6F191AC5"/>
    <w:rsid w:val="6F32679B"/>
    <w:rsid w:val="6F53670E"/>
    <w:rsid w:val="6F571E8A"/>
    <w:rsid w:val="6FBC266D"/>
    <w:rsid w:val="6FBC7D37"/>
    <w:rsid w:val="6FD33272"/>
    <w:rsid w:val="70600FFB"/>
    <w:rsid w:val="70AE29C3"/>
    <w:rsid w:val="70DD7D37"/>
    <w:rsid w:val="711E71B8"/>
    <w:rsid w:val="715A079B"/>
    <w:rsid w:val="718B310E"/>
    <w:rsid w:val="71B30835"/>
    <w:rsid w:val="71CA3399"/>
    <w:rsid w:val="7209655C"/>
    <w:rsid w:val="7211444D"/>
    <w:rsid w:val="72155289"/>
    <w:rsid w:val="724555BA"/>
    <w:rsid w:val="728839C4"/>
    <w:rsid w:val="72945F17"/>
    <w:rsid w:val="72A23828"/>
    <w:rsid w:val="72AD53C1"/>
    <w:rsid w:val="72CE68A0"/>
    <w:rsid w:val="731F23A0"/>
    <w:rsid w:val="731F4044"/>
    <w:rsid w:val="734C66E0"/>
    <w:rsid w:val="73537676"/>
    <w:rsid w:val="73587B10"/>
    <w:rsid w:val="735D695A"/>
    <w:rsid w:val="73A93440"/>
    <w:rsid w:val="73E86743"/>
    <w:rsid w:val="747D2059"/>
    <w:rsid w:val="75825215"/>
    <w:rsid w:val="7627050F"/>
    <w:rsid w:val="76874F89"/>
    <w:rsid w:val="76BE5831"/>
    <w:rsid w:val="76BF29A0"/>
    <w:rsid w:val="76E97BB1"/>
    <w:rsid w:val="770A751C"/>
    <w:rsid w:val="780C4AB1"/>
    <w:rsid w:val="780E2C95"/>
    <w:rsid w:val="783B27A8"/>
    <w:rsid w:val="785E5E07"/>
    <w:rsid w:val="786C4270"/>
    <w:rsid w:val="78912D90"/>
    <w:rsid w:val="789771DF"/>
    <w:rsid w:val="78A80F5B"/>
    <w:rsid w:val="78F838BC"/>
    <w:rsid w:val="79EA73F0"/>
    <w:rsid w:val="79EF5A17"/>
    <w:rsid w:val="7A870B69"/>
    <w:rsid w:val="7A8777C7"/>
    <w:rsid w:val="7AA45691"/>
    <w:rsid w:val="7AF17FBD"/>
    <w:rsid w:val="7B32751C"/>
    <w:rsid w:val="7B652D59"/>
    <w:rsid w:val="7B82734E"/>
    <w:rsid w:val="7B851AAC"/>
    <w:rsid w:val="7BB27D4D"/>
    <w:rsid w:val="7BF67CE4"/>
    <w:rsid w:val="7C126A2E"/>
    <w:rsid w:val="7C4335D3"/>
    <w:rsid w:val="7D510E50"/>
    <w:rsid w:val="7D5F4854"/>
    <w:rsid w:val="7D9276AA"/>
    <w:rsid w:val="7DB008CE"/>
    <w:rsid w:val="7DE636CF"/>
    <w:rsid w:val="7E1B5DF2"/>
    <w:rsid w:val="7E505119"/>
    <w:rsid w:val="7E5349A3"/>
    <w:rsid w:val="7E8511F7"/>
    <w:rsid w:val="7F05069F"/>
    <w:rsid w:val="7F4E5A51"/>
    <w:rsid w:val="7F73142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qFormat="1"/>
    <w:lsdException w:name="header" w:semiHidden="0" w:qFormat="1"/>
    <w:lsdException w:name="footer" w:semiHidden="0" w:qFormat="1"/>
    <w:lsdException w:name="caption" w:semiHidden="0" w:uiPriority="35" w:unhideWhenUsed="0" w:qFormat="1"/>
    <w:lsdException w:name="table of figures" w:semiHidden="0" w:qFormat="1"/>
    <w:lsdException w:name="footnote reference" w:semiHidden="0" w:qFormat="1"/>
    <w:lsdException w:name="Title" w:semiHidden="0" w:uiPriority="10" w:unhideWhenUsed="0" w:qFormat="1"/>
    <w:lsdException w:name="Default Paragraph Font" w:uiPriority="1" w:qFormat="1"/>
    <w:lsdException w:name="Body Text" w:semiHidden="0" w:uiPriority="1"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semiHidden="0"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5B93"/>
    <w:pPr>
      <w:widowControl w:val="0"/>
      <w:jc w:val="both"/>
    </w:pPr>
    <w:rPr>
      <w:rFonts w:ascii="等线" w:eastAsia="等线" w:hAnsi="等线"/>
      <w:kern w:val="2"/>
      <w:sz w:val="21"/>
      <w:szCs w:val="22"/>
    </w:rPr>
  </w:style>
  <w:style w:type="paragraph" w:styleId="1">
    <w:name w:val="heading 1"/>
    <w:basedOn w:val="2"/>
    <w:next w:val="a"/>
    <w:link w:val="1Char"/>
    <w:uiPriority w:val="9"/>
    <w:qFormat/>
    <w:rsid w:val="00425B93"/>
    <w:pPr>
      <w:jc w:val="left"/>
      <w:outlineLvl w:val="0"/>
    </w:pPr>
    <w:rPr>
      <w:rFonts w:ascii="宋体" w:hAnsi="宋体"/>
      <w:bCs w:val="0"/>
      <w:kern w:val="0"/>
      <w:sz w:val="30"/>
      <w:szCs w:val="30"/>
    </w:rPr>
  </w:style>
  <w:style w:type="paragraph" w:styleId="2">
    <w:name w:val="heading 2"/>
    <w:basedOn w:val="3"/>
    <w:next w:val="a"/>
    <w:link w:val="2Char"/>
    <w:uiPriority w:val="9"/>
    <w:qFormat/>
    <w:rsid w:val="00425B93"/>
    <w:pPr>
      <w:spacing w:before="50" w:after="50"/>
      <w:ind w:firstLineChars="0" w:firstLine="0"/>
      <w:jc w:val="center"/>
      <w:outlineLvl w:val="1"/>
    </w:pPr>
    <w:rPr>
      <w:rFonts w:ascii="等线" w:hAnsi="等线"/>
      <w:bCs/>
      <w:kern w:val="2"/>
      <w:sz w:val="28"/>
      <w:szCs w:val="28"/>
    </w:rPr>
  </w:style>
  <w:style w:type="paragraph" w:styleId="3">
    <w:name w:val="heading 3"/>
    <w:basedOn w:val="a"/>
    <w:next w:val="a"/>
    <w:link w:val="3Char"/>
    <w:uiPriority w:val="9"/>
    <w:qFormat/>
    <w:rsid w:val="00425B93"/>
    <w:pPr>
      <w:spacing w:beforeLines="50" w:afterLines="50" w:line="440" w:lineRule="exact"/>
      <w:ind w:firstLineChars="200" w:firstLine="482"/>
      <w:outlineLvl w:val="2"/>
    </w:pPr>
    <w:rPr>
      <w:rFonts w:ascii="宋体" w:eastAsia="宋体" w:hAnsi="宋体"/>
      <w:b/>
      <w:kern w:val="0"/>
      <w:sz w:val="24"/>
      <w:szCs w:val="24"/>
    </w:rPr>
  </w:style>
  <w:style w:type="paragraph" w:styleId="4">
    <w:name w:val="heading 4"/>
    <w:basedOn w:val="a"/>
    <w:next w:val="a"/>
    <w:link w:val="4Char"/>
    <w:uiPriority w:val="9"/>
    <w:qFormat/>
    <w:rsid w:val="00425B93"/>
    <w:pPr>
      <w:keepNext/>
      <w:keepLines/>
      <w:spacing w:before="280" w:after="290" w:line="376" w:lineRule="auto"/>
      <w:outlineLvl w:val="3"/>
    </w:pPr>
    <w:rPr>
      <w:rFonts w:ascii="等线 Light" w:eastAsia="等线 Light" w:hAnsi="等线 Light"/>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link w:val="Char"/>
    <w:uiPriority w:val="35"/>
    <w:qFormat/>
    <w:rsid w:val="00425B93"/>
    <w:rPr>
      <w:rFonts w:ascii="等线 Light" w:eastAsia="黑体" w:hAnsi="等线 Light"/>
      <w:sz w:val="20"/>
      <w:szCs w:val="20"/>
    </w:rPr>
  </w:style>
  <w:style w:type="paragraph" w:styleId="a4">
    <w:name w:val="Body Text"/>
    <w:basedOn w:val="a"/>
    <w:link w:val="Char0"/>
    <w:uiPriority w:val="1"/>
    <w:qFormat/>
    <w:rsid w:val="00425B93"/>
    <w:pPr>
      <w:autoSpaceDE w:val="0"/>
      <w:autoSpaceDN w:val="0"/>
      <w:spacing w:beforeLines="50" w:afterLines="50" w:line="440" w:lineRule="exact"/>
      <w:ind w:firstLineChars="200" w:firstLine="200"/>
      <w:jc w:val="left"/>
    </w:pPr>
    <w:rPr>
      <w:rFonts w:ascii="宋体" w:eastAsia="宋体" w:hAnsi="宋体"/>
      <w:kern w:val="0"/>
      <w:sz w:val="24"/>
      <w:szCs w:val="24"/>
      <w:lang w:eastAsia="en-US"/>
    </w:rPr>
  </w:style>
  <w:style w:type="paragraph" w:styleId="30">
    <w:name w:val="toc 3"/>
    <w:basedOn w:val="a"/>
    <w:next w:val="a"/>
    <w:uiPriority w:val="39"/>
    <w:unhideWhenUsed/>
    <w:qFormat/>
    <w:rsid w:val="00425B93"/>
    <w:pPr>
      <w:spacing w:line="520" w:lineRule="exact"/>
      <w:ind w:leftChars="100" w:left="100"/>
    </w:pPr>
    <w:rPr>
      <w:rFonts w:eastAsia="宋体"/>
      <w:b/>
      <w:sz w:val="24"/>
    </w:rPr>
  </w:style>
  <w:style w:type="paragraph" w:styleId="a5">
    <w:name w:val="Balloon Text"/>
    <w:basedOn w:val="a"/>
    <w:link w:val="Char1"/>
    <w:uiPriority w:val="99"/>
    <w:unhideWhenUsed/>
    <w:qFormat/>
    <w:rsid w:val="00425B93"/>
    <w:rPr>
      <w:rFonts w:ascii="Times New Roman" w:eastAsia="宋体" w:hAnsi="Times New Roman"/>
      <w:kern w:val="0"/>
      <w:sz w:val="18"/>
      <w:szCs w:val="18"/>
    </w:rPr>
  </w:style>
  <w:style w:type="paragraph" w:styleId="a6">
    <w:name w:val="footer"/>
    <w:basedOn w:val="a"/>
    <w:link w:val="Char2"/>
    <w:uiPriority w:val="99"/>
    <w:unhideWhenUsed/>
    <w:qFormat/>
    <w:rsid w:val="00425B93"/>
    <w:pPr>
      <w:tabs>
        <w:tab w:val="center" w:pos="4153"/>
        <w:tab w:val="right" w:pos="8306"/>
      </w:tabs>
      <w:snapToGrid w:val="0"/>
      <w:jc w:val="left"/>
    </w:pPr>
    <w:rPr>
      <w:rFonts w:ascii="Times New Roman" w:eastAsia="宋体" w:hAnsi="Times New Roman"/>
      <w:kern w:val="0"/>
      <w:sz w:val="18"/>
      <w:szCs w:val="18"/>
    </w:rPr>
  </w:style>
  <w:style w:type="paragraph" w:styleId="a7">
    <w:name w:val="header"/>
    <w:basedOn w:val="a"/>
    <w:link w:val="Char3"/>
    <w:uiPriority w:val="99"/>
    <w:unhideWhenUsed/>
    <w:qFormat/>
    <w:rsid w:val="00425B93"/>
    <w:pPr>
      <w:pBdr>
        <w:bottom w:val="single" w:sz="6" w:space="1" w:color="auto"/>
      </w:pBdr>
      <w:tabs>
        <w:tab w:val="center" w:pos="4153"/>
        <w:tab w:val="right" w:pos="8306"/>
      </w:tabs>
      <w:snapToGrid w:val="0"/>
      <w:jc w:val="center"/>
    </w:pPr>
    <w:rPr>
      <w:rFonts w:ascii="Times New Roman" w:eastAsia="宋体" w:hAnsi="Times New Roman"/>
      <w:kern w:val="0"/>
      <w:sz w:val="18"/>
      <w:szCs w:val="18"/>
    </w:rPr>
  </w:style>
  <w:style w:type="paragraph" w:styleId="10">
    <w:name w:val="toc 1"/>
    <w:basedOn w:val="a"/>
    <w:next w:val="a"/>
    <w:uiPriority w:val="39"/>
    <w:unhideWhenUsed/>
    <w:qFormat/>
    <w:rsid w:val="00425B93"/>
    <w:pPr>
      <w:spacing w:line="520" w:lineRule="exact"/>
    </w:pPr>
    <w:rPr>
      <w:rFonts w:eastAsia="宋体"/>
      <w:b/>
      <w:sz w:val="30"/>
    </w:rPr>
  </w:style>
  <w:style w:type="paragraph" w:styleId="a8">
    <w:name w:val="footnote text"/>
    <w:basedOn w:val="a"/>
    <w:link w:val="Char4"/>
    <w:uiPriority w:val="99"/>
    <w:unhideWhenUsed/>
    <w:qFormat/>
    <w:rsid w:val="00425B93"/>
    <w:pPr>
      <w:snapToGrid w:val="0"/>
      <w:jc w:val="left"/>
    </w:pPr>
    <w:rPr>
      <w:rFonts w:ascii="Times New Roman" w:eastAsia="宋体" w:hAnsi="Times New Roman"/>
      <w:kern w:val="0"/>
      <w:sz w:val="18"/>
      <w:szCs w:val="18"/>
    </w:rPr>
  </w:style>
  <w:style w:type="paragraph" w:styleId="a9">
    <w:name w:val="table of figures"/>
    <w:basedOn w:val="a"/>
    <w:next w:val="a"/>
    <w:link w:val="Char5"/>
    <w:uiPriority w:val="99"/>
    <w:unhideWhenUsed/>
    <w:qFormat/>
    <w:rsid w:val="00425B93"/>
    <w:pPr>
      <w:spacing w:line="480" w:lineRule="exact"/>
      <w:ind w:left="200" w:hangingChars="200" w:hanging="200"/>
    </w:pPr>
    <w:rPr>
      <w:rFonts w:ascii="Times New Roman" w:eastAsia="黑体" w:hAnsi="Times New Roman"/>
      <w:sz w:val="24"/>
    </w:rPr>
  </w:style>
  <w:style w:type="paragraph" w:styleId="20">
    <w:name w:val="toc 2"/>
    <w:basedOn w:val="a"/>
    <w:next w:val="a"/>
    <w:link w:val="2Char0"/>
    <w:uiPriority w:val="39"/>
    <w:unhideWhenUsed/>
    <w:qFormat/>
    <w:rsid w:val="00425B93"/>
    <w:pPr>
      <w:spacing w:line="520" w:lineRule="exact"/>
      <w:ind w:leftChars="100" w:left="100"/>
    </w:pPr>
    <w:rPr>
      <w:rFonts w:ascii="Times New Roman" w:eastAsia="宋体" w:hAnsi="Times New Roman"/>
      <w:b/>
      <w:sz w:val="28"/>
    </w:rPr>
  </w:style>
  <w:style w:type="paragraph" w:styleId="aa">
    <w:name w:val="Normal (Web)"/>
    <w:basedOn w:val="a"/>
    <w:uiPriority w:val="99"/>
    <w:unhideWhenUsed/>
    <w:qFormat/>
    <w:rsid w:val="00425B93"/>
    <w:pPr>
      <w:spacing w:before="100" w:beforeAutospacing="1" w:after="100" w:afterAutospacing="1"/>
      <w:jc w:val="left"/>
    </w:pPr>
    <w:rPr>
      <w:kern w:val="0"/>
      <w:sz w:val="24"/>
    </w:rPr>
  </w:style>
  <w:style w:type="table" w:styleId="ab">
    <w:name w:val="Table Grid"/>
    <w:basedOn w:val="a1"/>
    <w:uiPriority w:val="39"/>
    <w:qFormat/>
    <w:rsid w:val="00425B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uiPriority w:val="99"/>
    <w:unhideWhenUsed/>
    <w:qFormat/>
    <w:rsid w:val="00425B93"/>
    <w:rPr>
      <w:color w:val="0563C1"/>
      <w:u w:val="single"/>
    </w:rPr>
  </w:style>
  <w:style w:type="character" w:styleId="ad">
    <w:name w:val="footnote reference"/>
    <w:uiPriority w:val="99"/>
    <w:unhideWhenUsed/>
    <w:qFormat/>
    <w:rsid w:val="00425B93"/>
    <w:rPr>
      <w:vertAlign w:val="superscript"/>
    </w:rPr>
  </w:style>
  <w:style w:type="character" w:customStyle="1" w:styleId="2Char0">
    <w:name w:val="目录 2 Char"/>
    <w:link w:val="20"/>
    <w:uiPriority w:val="39"/>
    <w:qFormat/>
    <w:rsid w:val="00425B93"/>
    <w:rPr>
      <w:rFonts w:eastAsia="宋体"/>
      <w:b/>
      <w:kern w:val="2"/>
      <w:sz w:val="28"/>
      <w:szCs w:val="22"/>
    </w:rPr>
  </w:style>
  <w:style w:type="character" w:customStyle="1" w:styleId="3Char">
    <w:name w:val="标题 3 Char"/>
    <w:link w:val="3"/>
    <w:uiPriority w:val="9"/>
    <w:qFormat/>
    <w:rsid w:val="00425B93"/>
    <w:rPr>
      <w:rFonts w:ascii="宋体" w:eastAsia="宋体" w:hAnsi="宋体" w:cs="宋体"/>
      <w:b/>
      <w:sz w:val="24"/>
      <w:szCs w:val="24"/>
    </w:rPr>
  </w:style>
  <w:style w:type="character" w:customStyle="1" w:styleId="Char1">
    <w:name w:val="批注框文本 Char"/>
    <w:link w:val="a5"/>
    <w:uiPriority w:val="99"/>
    <w:semiHidden/>
    <w:qFormat/>
    <w:rsid w:val="00425B93"/>
    <w:rPr>
      <w:sz w:val="18"/>
      <w:szCs w:val="18"/>
    </w:rPr>
  </w:style>
  <w:style w:type="character" w:customStyle="1" w:styleId="2Char">
    <w:name w:val="标题 2 Char"/>
    <w:link w:val="2"/>
    <w:uiPriority w:val="9"/>
    <w:qFormat/>
    <w:rsid w:val="00425B93"/>
    <w:rPr>
      <w:rFonts w:ascii="等线" w:eastAsia="宋体" w:hAnsi="等线"/>
      <w:b/>
      <w:bCs/>
      <w:kern w:val="2"/>
      <w:sz w:val="28"/>
      <w:szCs w:val="28"/>
    </w:rPr>
  </w:style>
  <w:style w:type="character" w:customStyle="1" w:styleId="Char4">
    <w:name w:val="脚注文本 Char"/>
    <w:link w:val="a8"/>
    <w:uiPriority w:val="99"/>
    <w:semiHidden/>
    <w:qFormat/>
    <w:rsid w:val="00425B93"/>
    <w:rPr>
      <w:sz w:val="18"/>
      <w:szCs w:val="18"/>
    </w:rPr>
  </w:style>
  <w:style w:type="character" w:customStyle="1" w:styleId="21">
    <w:name w:val="2.报告副标题 字符"/>
    <w:link w:val="22"/>
    <w:qFormat/>
    <w:rsid w:val="00425B93"/>
    <w:rPr>
      <w:rFonts w:ascii="Cambria" w:eastAsia="仿宋" w:hAnsi="Cambria" w:cs="Calibri"/>
      <w:b/>
      <w:color w:val="3F6999"/>
      <w:sz w:val="36"/>
      <w:szCs w:val="56"/>
    </w:rPr>
  </w:style>
  <w:style w:type="paragraph" w:customStyle="1" w:styleId="22">
    <w:name w:val="2.报告副标题"/>
    <w:basedOn w:val="a"/>
    <w:link w:val="21"/>
    <w:qFormat/>
    <w:rsid w:val="00425B93"/>
    <w:pPr>
      <w:framePr w:hSpace="180" w:wrap="around" w:vAnchor="text" w:hAnchor="margin" w:x="-176" w:y="20"/>
      <w:widowControl/>
      <w:ind w:firstLine="723"/>
      <w:jc w:val="right"/>
    </w:pPr>
    <w:rPr>
      <w:rFonts w:ascii="Cambria" w:eastAsia="仿宋" w:hAnsi="Cambria"/>
      <w:b/>
      <w:color w:val="3F6999"/>
      <w:kern w:val="0"/>
      <w:sz w:val="36"/>
      <w:szCs w:val="56"/>
    </w:rPr>
  </w:style>
  <w:style w:type="character" w:customStyle="1" w:styleId="Char3">
    <w:name w:val="页眉 Char"/>
    <w:link w:val="a7"/>
    <w:uiPriority w:val="99"/>
    <w:qFormat/>
    <w:rsid w:val="00425B93"/>
    <w:rPr>
      <w:sz w:val="18"/>
      <w:szCs w:val="18"/>
    </w:rPr>
  </w:style>
  <w:style w:type="character" w:customStyle="1" w:styleId="Char0">
    <w:name w:val="正文文本 Char"/>
    <w:link w:val="a4"/>
    <w:uiPriority w:val="1"/>
    <w:qFormat/>
    <w:rsid w:val="00425B93"/>
    <w:rPr>
      <w:rFonts w:ascii="宋体" w:eastAsia="宋体" w:hAnsi="宋体" w:cs="宋体"/>
      <w:kern w:val="0"/>
      <w:sz w:val="24"/>
      <w:szCs w:val="24"/>
      <w:lang w:eastAsia="en-US"/>
    </w:rPr>
  </w:style>
  <w:style w:type="character" w:customStyle="1" w:styleId="Char6">
    <w:name w:val="图表目录新 Char"/>
    <w:basedOn w:val="Char5"/>
    <w:link w:val="ae"/>
    <w:qFormat/>
    <w:rsid w:val="00425B93"/>
    <w:rPr>
      <w:rFonts w:eastAsia="黑体"/>
      <w:kern w:val="2"/>
      <w:sz w:val="24"/>
      <w:szCs w:val="22"/>
    </w:rPr>
  </w:style>
  <w:style w:type="character" w:customStyle="1" w:styleId="Char5">
    <w:name w:val="图表目录 Char"/>
    <w:link w:val="a9"/>
    <w:uiPriority w:val="99"/>
    <w:qFormat/>
    <w:rsid w:val="00425B93"/>
    <w:rPr>
      <w:rFonts w:eastAsia="黑体"/>
      <w:kern w:val="2"/>
      <w:sz w:val="24"/>
      <w:szCs w:val="22"/>
    </w:rPr>
  </w:style>
  <w:style w:type="paragraph" w:customStyle="1" w:styleId="ae">
    <w:name w:val="图表目录新"/>
    <w:basedOn w:val="a9"/>
    <w:link w:val="Char6"/>
    <w:qFormat/>
    <w:rsid w:val="00425B93"/>
    <w:pPr>
      <w:tabs>
        <w:tab w:val="right" w:leader="dot" w:pos="10194"/>
      </w:tabs>
      <w:spacing w:line="360" w:lineRule="auto"/>
      <w:ind w:left="840" w:hanging="420"/>
    </w:pPr>
  </w:style>
  <w:style w:type="character" w:customStyle="1" w:styleId="8">
    <w:name w:val="8.来源 字符"/>
    <w:link w:val="80"/>
    <w:qFormat/>
    <w:rsid w:val="00425B93"/>
    <w:rPr>
      <w:rFonts w:ascii="Cambria" w:eastAsia="仿宋" w:hAnsi="Cambria" w:cs="Calibri"/>
      <w:i/>
      <w:color w:val="404040"/>
      <w:sz w:val="18"/>
      <w:szCs w:val="16"/>
    </w:rPr>
  </w:style>
  <w:style w:type="paragraph" w:customStyle="1" w:styleId="80">
    <w:name w:val="8.来源"/>
    <w:basedOn w:val="a"/>
    <w:link w:val="8"/>
    <w:qFormat/>
    <w:rsid w:val="00425B93"/>
    <w:pPr>
      <w:autoSpaceDE w:val="0"/>
      <w:autoSpaceDN w:val="0"/>
      <w:adjustRightInd w:val="0"/>
    </w:pPr>
    <w:rPr>
      <w:rFonts w:ascii="Cambria" w:eastAsia="仿宋" w:hAnsi="Cambria"/>
      <w:i/>
      <w:color w:val="404040"/>
      <w:kern w:val="0"/>
      <w:sz w:val="18"/>
      <w:szCs w:val="16"/>
    </w:rPr>
  </w:style>
  <w:style w:type="character" w:customStyle="1" w:styleId="4Char">
    <w:name w:val="标题 4 Char"/>
    <w:link w:val="4"/>
    <w:uiPriority w:val="9"/>
    <w:qFormat/>
    <w:rsid w:val="00425B93"/>
    <w:rPr>
      <w:rFonts w:ascii="等线 Light" w:eastAsia="等线 Light" w:hAnsi="等线 Light" w:cs="Times New Roman"/>
      <w:b/>
      <w:bCs/>
      <w:sz w:val="28"/>
      <w:szCs w:val="28"/>
    </w:rPr>
  </w:style>
  <w:style w:type="character" w:customStyle="1" w:styleId="1Char">
    <w:name w:val="标题 1 Char"/>
    <w:link w:val="1"/>
    <w:uiPriority w:val="9"/>
    <w:qFormat/>
    <w:rsid w:val="00425B93"/>
    <w:rPr>
      <w:rFonts w:ascii="宋体" w:eastAsia="宋体" w:hAnsi="宋体" w:cs="宋体"/>
      <w:b/>
      <w:sz w:val="30"/>
      <w:szCs w:val="30"/>
    </w:rPr>
  </w:style>
  <w:style w:type="character" w:customStyle="1" w:styleId="af">
    <w:name w:val="目录 字符"/>
    <w:link w:val="af0"/>
    <w:qFormat/>
    <w:rsid w:val="00425B93"/>
    <w:rPr>
      <w:rFonts w:ascii="仿宋" w:eastAsia="仿宋" w:hAnsi="仿宋"/>
      <w:b/>
      <w:kern w:val="2"/>
      <w:sz w:val="24"/>
      <w:szCs w:val="28"/>
    </w:rPr>
  </w:style>
  <w:style w:type="paragraph" w:customStyle="1" w:styleId="af0">
    <w:name w:val="目录"/>
    <w:basedOn w:val="20"/>
    <w:link w:val="af"/>
    <w:qFormat/>
    <w:rsid w:val="00425B93"/>
    <w:pPr>
      <w:tabs>
        <w:tab w:val="right" w:leader="dot" w:pos="10194"/>
      </w:tabs>
      <w:spacing w:line="360" w:lineRule="auto"/>
    </w:pPr>
    <w:rPr>
      <w:rFonts w:ascii="仿宋" w:eastAsia="仿宋" w:hAnsi="仿宋"/>
      <w:sz w:val="24"/>
      <w:szCs w:val="28"/>
    </w:rPr>
  </w:style>
  <w:style w:type="character" w:customStyle="1" w:styleId="Char2">
    <w:name w:val="页脚 Char"/>
    <w:link w:val="a6"/>
    <w:uiPriority w:val="99"/>
    <w:qFormat/>
    <w:rsid w:val="00425B93"/>
    <w:rPr>
      <w:sz w:val="18"/>
      <w:szCs w:val="18"/>
    </w:rPr>
  </w:style>
  <w:style w:type="character" w:customStyle="1" w:styleId="6">
    <w:name w:val="6.正文 字符"/>
    <w:link w:val="60"/>
    <w:qFormat/>
    <w:rsid w:val="00425B93"/>
    <w:rPr>
      <w:rFonts w:ascii="楷体" w:eastAsia="楷体" w:hAnsi="楷体" w:cs="Calibri"/>
      <w:sz w:val="24"/>
    </w:rPr>
  </w:style>
  <w:style w:type="paragraph" w:customStyle="1" w:styleId="60">
    <w:name w:val="6.正文"/>
    <w:basedOn w:val="a"/>
    <w:link w:val="6"/>
    <w:qFormat/>
    <w:rsid w:val="00425B93"/>
    <w:pPr>
      <w:widowControl/>
      <w:autoSpaceDE w:val="0"/>
      <w:autoSpaceDN w:val="0"/>
      <w:snapToGrid w:val="0"/>
      <w:spacing w:beforeLines="50" w:afterLines="50"/>
      <w:ind w:firstLineChars="200" w:firstLine="200"/>
    </w:pPr>
    <w:rPr>
      <w:rFonts w:ascii="楷体" w:eastAsia="楷体" w:hAnsi="楷体"/>
      <w:kern w:val="0"/>
      <w:sz w:val="24"/>
      <w:szCs w:val="20"/>
    </w:rPr>
  </w:style>
  <w:style w:type="character" w:customStyle="1" w:styleId="Char7">
    <w:name w:val="图表标题 Char"/>
    <w:basedOn w:val="Char"/>
    <w:link w:val="af1"/>
    <w:qFormat/>
    <w:rsid w:val="00425B93"/>
    <w:rPr>
      <w:rFonts w:ascii="等线 Light" w:eastAsia="黑体" w:hAnsi="等线 Light" w:cs="Times New Roman"/>
      <w:kern w:val="2"/>
    </w:rPr>
  </w:style>
  <w:style w:type="character" w:customStyle="1" w:styleId="Char">
    <w:name w:val="题注 Char"/>
    <w:link w:val="a3"/>
    <w:uiPriority w:val="35"/>
    <w:qFormat/>
    <w:rsid w:val="00425B93"/>
    <w:rPr>
      <w:rFonts w:ascii="等线 Light" w:eastAsia="黑体" w:hAnsi="等线 Light" w:cs="Times New Roman"/>
      <w:kern w:val="2"/>
    </w:rPr>
  </w:style>
  <w:style w:type="paragraph" w:customStyle="1" w:styleId="af1">
    <w:name w:val="图表标题"/>
    <w:basedOn w:val="a3"/>
    <w:link w:val="Char7"/>
    <w:qFormat/>
    <w:rsid w:val="00425B93"/>
    <w:pPr>
      <w:jc w:val="center"/>
    </w:pPr>
    <w:rPr>
      <w:rFonts w:ascii="黑体" w:hAnsi="黑体"/>
      <w:sz w:val="24"/>
      <w:szCs w:val="24"/>
    </w:rPr>
  </w:style>
  <w:style w:type="character" w:customStyle="1" w:styleId="7">
    <w:name w:val="7.图表标题 字符"/>
    <w:link w:val="70"/>
    <w:qFormat/>
    <w:rsid w:val="00425B93"/>
    <w:rPr>
      <w:rFonts w:ascii="Cambria" w:eastAsia="仿宋" w:hAnsi="Cambria" w:cs="Calibri"/>
      <w:b/>
      <w:sz w:val="24"/>
    </w:rPr>
  </w:style>
  <w:style w:type="paragraph" w:customStyle="1" w:styleId="70">
    <w:name w:val="7.图表标题"/>
    <w:basedOn w:val="a3"/>
    <w:link w:val="7"/>
    <w:qFormat/>
    <w:rsid w:val="00425B93"/>
    <w:pPr>
      <w:spacing w:before="120" w:after="120" w:line="180" w:lineRule="auto"/>
    </w:pPr>
    <w:rPr>
      <w:rFonts w:ascii="Cambria" w:eastAsia="仿宋" w:hAnsi="Cambria"/>
      <w:b/>
      <w:kern w:val="0"/>
      <w:sz w:val="24"/>
    </w:rPr>
  </w:style>
  <w:style w:type="paragraph" w:customStyle="1" w:styleId="TableParagraph">
    <w:name w:val="Table Paragraph"/>
    <w:basedOn w:val="a"/>
    <w:uiPriority w:val="1"/>
    <w:qFormat/>
    <w:rsid w:val="00425B93"/>
    <w:pPr>
      <w:autoSpaceDE w:val="0"/>
      <w:autoSpaceDN w:val="0"/>
      <w:ind w:left="107"/>
      <w:jc w:val="left"/>
    </w:pPr>
    <w:rPr>
      <w:rFonts w:ascii="宋体" w:eastAsia="宋体" w:hAnsi="宋体" w:cs="宋体"/>
      <w:kern w:val="0"/>
      <w:sz w:val="22"/>
      <w:lang w:eastAsia="en-US"/>
    </w:rPr>
  </w:style>
  <w:style w:type="paragraph" w:customStyle="1" w:styleId="TOC2">
    <w:name w:val="TOC 标题2"/>
    <w:basedOn w:val="1"/>
    <w:next w:val="a"/>
    <w:uiPriority w:val="39"/>
    <w:unhideWhenUsed/>
    <w:qFormat/>
    <w:rsid w:val="00425B93"/>
    <w:pPr>
      <w:widowControl/>
      <w:spacing w:before="480" w:line="276" w:lineRule="auto"/>
      <w:outlineLvl w:val="9"/>
    </w:pPr>
    <w:rPr>
      <w:rFonts w:ascii="等线 Light" w:eastAsia="等线 Light" w:hAnsi="等线 Light"/>
      <w:color w:val="2F5496"/>
      <w:sz w:val="28"/>
      <w:szCs w:val="28"/>
    </w:rPr>
  </w:style>
  <w:style w:type="paragraph" w:customStyle="1" w:styleId="TOC1">
    <w:name w:val="TOC 标题1"/>
    <w:basedOn w:val="1"/>
    <w:next w:val="a"/>
    <w:uiPriority w:val="39"/>
    <w:unhideWhenUsed/>
    <w:qFormat/>
    <w:rsid w:val="00425B93"/>
    <w:pPr>
      <w:widowControl/>
      <w:spacing w:before="240" w:line="259" w:lineRule="auto"/>
      <w:outlineLvl w:val="9"/>
    </w:pPr>
    <w:rPr>
      <w:rFonts w:ascii="等线 Light" w:eastAsia="等线 Light" w:hAnsi="等线 Light"/>
      <w:b w:val="0"/>
      <w:color w:val="2F5496"/>
      <w:sz w:val="32"/>
      <w:szCs w:val="32"/>
    </w:rPr>
  </w:style>
  <w:style w:type="table" w:customStyle="1" w:styleId="TableNormal">
    <w:name w:val="Table Normal"/>
    <w:uiPriority w:val="2"/>
    <w:unhideWhenUsed/>
    <w:qFormat/>
    <w:rsid w:val="00425B93"/>
    <w:pPr>
      <w:widowControl w:val="0"/>
      <w:autoSpaceDE w:val="0"/>
      <w:autoSpaceDN w:val="0"/>
    </w:pPr>
    <w:rPr>
      <w:sz w:val="22"/>
      <w:lang w:eastAsia="en-US"/>
    </w:rPr>
    <w:tblPr>
      <w:tblCellMar>
        <w:top w:w="0" w:type="dxa"/>
        <w:left w:w="0" w:type="dxa"/>
        <w:bottom w:w="0" w:type="dxa"/>
        <w:right w:w="0" w:type="dxa"/>
      </w:tblCellMar>
    </w:tblPr>
  </w:style>
  <w:style w:type="table" w:customStyle="1" w:styleId="41">
    <w:name w:val="无格式表格 41"/>
    <w:basedOn w:val="a1"/>
    <w:uiPriority w:val="44"/>
    <w:qFormat/>
    <w:rsid w:val="00425B93"/>
    <w:tblPr>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1F1F1"/>
      </w:tcPr>
    </w:tblStylePr>
    <w:tblStylePr w:type="band1Horz">
      <w:tblPr/>
      <w:tcPr>
        <w:shd w:val="clear" w:color="auto" w:fill="F1F1F1"/>
      </w:tcPr>
    </w:tblStylePr>
  </w:style>
  <w:style w:type="table" w:customStyle="1" w:styleId="210">
    <w:name w:val="无格式表格 21"/>
    <w:basedOn w:val="a1"/>
    <w:uiPriority w:val="42"/>
    <w:qFormat/>
    <w:rsid w:val="00425B93"/>
    <w:tblPr>
      <w:tblInd w:w="0" w:type="dxa"/>
      <w:tblBorders>
        <w:top w:val="single" w:sz="4" w:space="0" w:color="7E7E7E"/>
        <w:bottom w:val="single" w:sz="4" w:space="0" w:color="7E7E7E"/>
      </w:tblBorders>
      <w:tblCellMar>
        <w:top w:w="0" w:type="dxa"/>
        <w:left w:w="108" w:type="dxa"/>
        <w:bottom w:w="0" w:type="dxa"/>
        <w:right w:w="108" w:type="dxa"/>
      </w:tblCellMar>
    </w:tblPr>
    <w:tblStylePr w:type="firstRow">
      <w:rPr>
        <w:b/>
        <w:bCs/>
      </w:rPr>
      <w:tblPr/>
      <w:tcPr>
        <w:tcBorders>
          <w:top w:val="nil"/>
          <w:left w:val="single" w:sz="4" w:space="0" w:color="7E7E7E"/>
          <w:bottom w:val="nil"/>
          <w:right w:val="nil"/>
          <w:insideH w:val="nil"/>
          <w:insideV w:val="nil"/>
          <w:tl2br w:val="nil"/>
          <w:tr2bl w:val="nil"/>
        </w:tcBorders>
      </w:tcPr>
    </w:tblStylePr>
    <w:tblStylePr w:type="lastRow">
      <w:rPr>
        <w:b/>
        <w:bCs/>
      </w:rPr>
      <w:tblPr/>
      <w:tcPr>
        <w:tcBorders>
          <w:top w:val="single" w:sz="4" w:space="0" w:color="7E7E7E"/>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single" w:sz="4" w:space="0" w:color="7E7E7E"/>
          <w:right w:val="single" w:sz="4" w:space="0" w:color="7E7E7E"/>
          <w:insideH w:val="nil"/>
          <w:insideV w:val="nil"/>
          <w:tl2br w:val="nil"/>
          <w:tr2bl w:val="nil"/>
        </w:tcBorders>
      </w:tcPr>
    </w:tblStylePr>
    <w:tblStylePr w:type="band2Vert">
      <w:tblPr/>
      <w:tcPr>
        <w:tcBorders>
          <w:top w:val="nil"/>
          <w:left w:val="nil"/>
          <w:bottom w:val="single" w:sz="4" w:space="0" w:color="7E7E7E"/>
          <w:right w:val="single" w:sz="4" w:space="0" w:color="7E7E7E"/>
          <w:insideH w:val="nil"/>
          <w:insideV w:val="nil"/>
          <w:tl2br w:val="nil"/>
          <w:tr2bl w:val="nil"/>
        </w:tcBorders>
      </w:tcPr>
    </w:tblStylePr>
    <w:tblStylePr w:type="band1Horz">
      <w:tblPr/>
      <w:tcPr>
        <w:tcBorders>
          <w:top w:val="single" w:sz="4" w:space="0" w:color="7E7E7E"/>
          <w:left w:val="single" w:sz="4" w:space="0" w:color="7E7E7E"/>
          <w:bottom w:val="nil"/>
          <w:right w:val="nil"/>
          <w:insideH w:val="nil"/>
          <w:insideV w:val="nil"/>
          <w:tl2br w:val="nil"/>
          <w:tr2bl w:val="nil"/>
        </w:tcBorders>
      </w:tcPr>
    </w:tblStylePr>
  </w:style>
  <w:style w:type="table" w:customStyle="1" w:styleId="51">
    <w:name w:val="无格式表格 51"/>
    <w:basedOn w:val="a1"/>
    <w:uiPriority w:val="45"/>
    <w:qFormat/>
    <w:rsid w:val="00425B93"/>
    <w:tblPr>
      <w:tblInd w:w="0" w:type="dxa"/>
      <w:tblCellMar>
        <w:top w:w="0" w:type="dxa"/>
        <w:left w:w="108" w:type="dxa"/>
        <w:bottom w:w="0" w:type="dxa"/>
        <w:right w:w="108" w:type="dxa"/>
      </w:tblCellMar>
    </w:tblPr>
    <w:tblStylePr w:type="firstRow">
      <w:rPr>
        <w:rFonts w:ascii="Helv" w:eastAsia="Helv" w:hAnsi="Helv" w:cs="Times New Roman"/>
        <w:i/>
        <w:iCs/>
        <w:sz w:val="26"/>
      </w:rPr>
      <w:tblPr/>
      <w:tcPr>
        <w:tcBorders>
          <w:top w:val="nil"/>
          <w:left w:val="single" w:sz="4" w:space="0" w:color="7E7E7E"/>
          <w:bottom w:val="nil"/>
          <w:right w:val="nil"/>
          <w:insideH w:val="nil"/>
          <w:insideV w:val="nil"/>
          <w:tl2br w:val="nil"/>
          <w:tr2bl w:val="nil"/>
        </w:tcBorders>
        <w:shd w:val="clear" w:color="auto" w:fill="FFFFFF"/>
      </w:tcPr>
    </w:tblStylePr>
    <w:tblStylePr w:type="lastRow">
      <w:rPr>
        <w:rFonts w:ascii="Helv" w:eastAsia="Helv" w:hAnsi="Helv" w:cs="Times New Roman"/>
        <w:i/>
        <w:iCs/>
        <w:sz w:val="26"/>
      </w:rPr>
      <w:tblPr/>
      <w:tcPr>
        <w:tcBorders>
          <w:top w:val="single" w:sz="4" w:space="0" w:color="7E7E7E"/>
          <w:left w:val="nil"/>
          <w:bottom w:val="nil"/>
          <w:right w:val="nil"/>
          <w:insideH w:val="nil"/>
          <w:insideV w:val="nil"/>
          <w:tl2br w:val="nil"/>
          <w:tr2bl w:val="nil"/>
        </w:tcBorders>
        <w:shd w:val="clear" w:color="auto" w:fill="FFFFFF"/>
      </w:tcPr>
    </w:tblStylePr>
    <w:tblStylePr w:type="firstCol">
      <w:pPr>
        <w:jc w:val="right"/>
      </w:pPr>
      <w:rPr>
        <w:rFonts w:ascii="Helv" w:eastAsia="Helv" w:hAnsi="Helv" w:cs="Times New Roman"/>
        <w:i/>
        <w:iCs/>
        <w:sz w:val="26"/>
      </w:rPr>
      <w:tblPr/>
      <w:tcPr>
        <w:tcBorders>
          <w:top w:val="nil"/>
          <w:left w:val="nil"/>
          <w:bottom w:val="nil"/>
          <w:right w:val="single" w:sz="4" w:space="0" w:color="7E7E7E"/>
          <w:insideH w:val="nil"/>
          <w:insideV w:val="nil"/>
          <w:tl2br w:val="nil"/>
          <w:tr2bl w:val="nil"/>
        </w:tcBorders>
        <w:shd w:val="clear" w:color="auto" w:fill="FFFFFF"/>
      </w:tcPr>
    </w:tblStylePr>
    <w:tblStylePr w:type="lastCol">
      <w:rPr>
        <w:rFonts w:ascii="Helv" w:eastAsia="Helv" w:hAnsi="Helv" w:cs="Times New Roman"/>
        <w:i/>
        <w:iCs/>
        <w:sz w:val="26"/>
      </w:rPr>
      <w:tblPr/>
      <w:tcPr>
        <w:tcBorders>
          <w:top w:val="nil"/>
          <w:left w:val="nil"/>
          <w:bottom w:val="single" w:sz="4" w:space="0" w:color="7E7E7E"/>
          <w:right w:val="nil"/>
          <w:insideH w:val="nil"/>
          <w:insideV w:val="nil"/>
          <w:tl2br w:val="nil"/>
          <w:tr2bl w:val="nil"/>
        </w:tcBorders>
        <w:shd w:val="clear" w:color="auto" w:fill="FFFFFF"/>
      </w:tcPr>
    </w:tblStylePr>
    <w:tblStylePr w:type="band1Vert">
      <w:tblPr/>
      <w:tcPr>
        <w:shd w:val="clear" w:color="auto" w:fill="F1F1F1"/>
      </w:tcPr>
    </w:tblStylePr>
    <w:tblStylePr w:type="band1Horz">
      <w:tblPr/>
      <w:tcPr>
        <w:shd w:val="clear" w:color="auto" w:fill="F1F1F1"/>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tblPr/>
      <w:tcPr>
        <w:tcBorders>
          <w:top w:val="nil"/>
          <w:left w:val="nil"/>
          <w:bottom w:val="nil"/>
          <w:right w:val="nil"/>
          <w:insideH w:val="nil"/>
          <w:insideV w:val="nil"/>
          <w:tl2br w:val="nil"/>
          <w:tr2bl w:val="nil"/>
        </w:tcBorders>
      </w:tcPr>
    </w:tblStylePr>
  </w:style>
  <w:style w:type="character" w:customStyle="1" w:styleId="fontstyle01">
    <w:name w:val="fontstyle01"/>
    <w:basedOn w:val="a0"/>
    <w:qFormat/>
    <w:rsid w:val="00425B93"/>
    <w:rPr>
      <w:rFonts w:ascii="宋体" w:eastAsia="宋体" w:hAnsi="宋体" w:cs="宋体"/>
      <w:color w:val="00000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3817160-2672-47F9-BF36-B6889D34C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5367</Words>
  <Characters>30598</Characters>
  <Application>Microsoft Office Word</Application>
  <DocSecurity>0</DocSecurity>
  <Lines>254</Lines>
  <Paragraphs>71</Paragraphs>
  <ScaleCrop>false</ScaleCrop>
  <Company>Lenovo</Company>
  <LinksUpToDate>false</LinksUpToDate>
  <CharactersWithSpaces>35894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ZH</dc:creator>
  <cp:lastModifiedBy>1</cp:lastModifiedBy>
  <cp:revision>2</cp:revision>
  <cp:lastPrinted>2021-01-10T13:54:00Z</cp:lastPrinted>
  <dcterms:created xsi:type="dcterms:W3CDTF">2021-01-25T01:44:00Z</dcterms:created>
  <dcterms:modified xsi:type="dcterms:W3CDTF">2021-01-25T01:44:00Z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