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D3CA" w14:textId="77777777" w:rsidR="00425B93" w:rsidRDefault="008659C3">
      <w:r>
        <w:rPr>
          <w:noProof/>
        </w:rPr>
        <w:drawing>
          <wp:anchor distT="0" distB="0" distL="114300" distR="114300" simplePos="0" relativeHeight="251656192" behindDoc="0" locked="0" layoutInCell="1" allowOverlap="1" wp14:anchorId="19BBD5C0" wp14:editId="19BBD5C1">
            <wp:simplePos x="0" y="0"/>
            <wp:positionH relativeFrom="column">
              <wp:posOffset>-2130425</wp:posOffset>
            </wp:positionH>
            <wp:positionV relativeFrom="paragraph">
              <wp:posOffset>-920750</wp:posOffset>
            </wp:positionV>
            <wp:extent cx="2233930" cy="134239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8"/>
                    <a:srcRect/>
                    <a:stretch>
                      <a:fillRect/>
                    </a:stretch>
                  </pic:blipFill>
                  <pic:spPr>
                    <a:xfrm>
                      <a:off x="0" y="0"/>
                      <a:ext cx="2233930" cy="1342390"/>
                    </a:xfrm>
                    <a:prstGeom prst="rect">
                      <a:avLst/>
                    </a:prstGeom>
                    <a:noFill/>
                    <a:ln w="9525">
                      <a:noFill/>
                      <a:miter lim="800000"/>
                      <a:headEnd/>
                      <a:tailEnd/>
                    </a:ln>
                  </pic:spPr>
                </pic:pic>
              </a:graphicData>
            </a:graphic>
          </wp:anchor>
        </w:drawing>
      </w:r>
      <w:r w:rsidR="00896AD8">
        <w:pict w14:anchorId="19BBD5C3">
          <v:shapetype id="_x0000_t202" coordsize="21600,21600" o:spt="202" path="m,l,21600r21600,l21600,xe">
            <v:stroke joinstyle="miter"/>
            <v:path gradientshapeok="t" o:connecttype="rect"/>
          </v:shapetype>
          <v:shape id="_x0000_s1026" type="#_x0000_t202" style="position:absolute;left:0;text-align:left;margin-left:72.95pt;margin-top:-48.2pt;width:268.5pt;height:52pt;z-index:251658240;mso-position-horizontal-relative:text;mso-position-vertical-relative:text" o:gfxdata="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1j6YPWAAAACQEAAA8AAAAAAAAAAQAgAAAAIgAAAGRycy9kb3ducmV2LnhtbFBLAQIUABQAAAAI&#10;AIdO4kARHecqKAIAADcEAAAOAAAAAAAAAAEAIAAAACUBAABkcnMvZTJvRG9jLnhtbFBLBQYAAAAA&#10;BgAGAFkBAAC/BQAAAAA=&#10;" filled="f" stroked="f">
            <v:textbox>
              <w:txbxContent>
                <w:p w14:paraId="19BBD5D2" w14:textId="77777777" w:rsidR="002212BB" w:rsidRDefault="002212BB">
                  <w:pPr>
                    <w:jc w:val="right"/>
                    <w:rPr>
                      <w:rFonts w:ascii="黑体" w:eastAsia="黑体" w:hAnsi="黑体"/>
                      <w:color w:val="4472C4"/>
                      <w:sz w:val="56"/>
                      <w:szCs w:val="56"/>
                    </w:rPr>
                  </w:pPr>
                  <w:r>
                    <w:rPr>
                      <w:rFonts w:ascii="黑体" w:eastAsia="黑体" w:hAnsi="黑体" w:hint="eastAsia"/>
                      <w:color w:val="4472C4"/>
                      <w:sz w:val="56"/>
                      <w:szCs w:val="56"/>
                    </w:rPr>
                    <w:t>新华社银行行长专刊</w:t>
                  </w:r>
                </w:p>
              </w:txbxContent>
            </v:textbox>
          </v:shape>
        </w:pict>
      </w:r>
      <w:r w:rsidR="00896AD8">
        <w:rPr>
          <w:sz w:val="23"/>
        </w:rPr>
        <w:pict w14:anchorId="19BBD5C4">
          <v:shape id="_x0000_s1028" type="#_x0000_t202" style="position:absolute;left:0;text-align:left;margin-left:15.45pt;margin-top:3.8pt;width:139pt;height:22.8pt;z-index:251659264;mso-height-percent:200;mso-wrap-distance-top:3.6pt;mso-wrap-distance-bottom:3.6pt;mso-position-horizontal-relative:margin;mso-position-vertical-relative:text;mso-height-percent:200;mso-height-relative:margin" o:gfxdata="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5VhA1QAAAAcBAAAPAAAAAAAAAAEAIAAAACIAAABkcnMv&#10;ZG93bnJldi54bWxQSwECFAAUAAAACACHTuJAGKLWuD8CAABhBAAADgAAAAAAAAABACAAAAAkAQAA&#10;ZHJzL2Uyb0RvYy54bWxQSwUGAAAAAAYABgBZAQAA1QUAAAAA&#10;" stroked="f">
            <v:textbox style="mso-fit-shape-to-text:t">
              <w:txbxContent>
                <w:p w14:paraId="19BBD5D3" w14:textId="77777777" w:rsidR="002212BB" w:rsidRDefault="002212BB">
                  <w:pPr>
                    <w:jc w:val="left"/>
                    <w:rPr>
                      <w:rFonts w:ascii="仿宋" w:eastAsia="仿宋" w:hAnsi="仿宋"/>
                      <w:color w:val="1F4E79"/>
                      <w:sz w:val="22"/>
                      <w:szCs w:val="24"/>
                    </w:rPr>
                  </w:pPr>
                  <w:r>
                    <w:rPr>
                      <w:rFonts w:ascii="仿宋" w:eastAsia="仿宋" w:hAnsi="仿宋" w:hint="eastAsia"/>
                      <w:color w:val="1F4E79"/>
                      <w:sz w:val="22"/>
                      <w:szCs w:val="24"/>
                    </w:rPr>
                    <w:t>新华社中国经济信息社</w:t>
                  </w:r>
                </w:p>
              </w:txbxContent>
            </v:textbox>
            <w10:wrap type="square" anchorx="margin"/>
          </v:shape>
        </w:pict>
      </w:r>
      <w:r w:rsidR="00896AD8">
        <w:rPr>
          <w:sz w:val="23"/>
        </w:rPr>
        <w:pict w14:anchorId="19BBD5C5">
          <v:shape id="文本框 2" o:spid="_x0000_s1027" type="#_x0000_t202" style="position:absolute;left:0;text-align:left;margin-left:8863.4pt;margin-top:4.3pt;width:281.5pt;height:22.8pt;z-index:251657216;mso-height-percent:200;mso-wrap-distance-top:3.6pt;mso-wrap-distance-bottom:3.6pt;mso-position-horizontal:right;mso-position-horizontal-relative:margin;mso-position-vertical-relative:text;mso-height-percent:200;mso-height-relative:margin" o:gfxdata="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P3bTM1AAAAAUBAAAPAAAAAAAAAAEAIAAAACIAAABkcnMv&#10;ZG93bnJldi54bWxQSwECFAAUAAAACACHTuJAB8CZTUACAABhBAAADgAAAAAAAAABACAAAAAjAQAA&#10;ZHJzL2Uyb0RvYy54bWxQSwUGAAAAAAYABgBZAQAA1QUAAAAA&#10;" stroked="f">
            <v:textbox style="mso-fit-shape-to-text:t">
              <w:txbxContent>
                <w:p w14:paraId="19BBD5D4" w14:textId="0B8D1F3C" w:rsidR="002212BB" w:rsidRDefault="002212BB" w:rsidP="004C1265">
                  <w:pPr>
                    <w:ind w:firstLineChars="1300" w:firstLine="2730"/>
                    <w:rPr>
                      <w:color w:val="1F4E79"/>
                    </w:rPr>
                  </w:pPr>
                  <w:r>
                    <w:rPr>
                      <w:color w:val="1F4E79"/>
                    </w:rPr>
                    <w:t>202</w:t>
                  </w:r>
                  <w:r>
                    <w:rPr>
                      <w:rFonts w:hint="eastAsia"/>
                      <w:color w:val="1F4E79"/>
                    </w:rPr>
                    <w:t>1</w:t>
                  </w:r>
                  <w:r>
                    <w:rPr>
                      <w:color w:val="1F4E79"/>
                    </w:rPr>
                    <w:t xml:space="preserve"> 年 </w:t>
                  </w:r>
                  <w:r w:rsidR="006335D0">
                    <w:rPr>
                      <w:color w:val="1F4E79"/>
                    </w:rPr>
                    <w:t>5</w:t>
                  </w:r>
                  <w:r>
                    <w:rPr>
                      <w:color w:val="1F4E79"/>
                    </w:rPr>
                    <w:t>月</w:t>
                  </w:r>
                  <w:r w:rsidR="00230007">
                    <w:rPr>
                      <w:color w:val="1F4E79"/>
                    </w:rPr>
                    <w:t>31</w:t>
                  </w:r>
                  <w:r>
                    <w:rPr>
                      <w:color w:val="1F4E79"/>
                    </w:rPr>
                    <w:t>日</w:t>
                  </w:r>
                  <w:r>
                    <w:rPr>
                      <w:rFonts w:hint="eastAsia"/>
                      <w:color w:val="1F4E79"/>
                    </w:rPr>
                    <w:t>第</w:t>
                  </w:r>
                  <w:r w:rsidR="00230007">
                    <w:rPr>
                      <w:b/>
                      <w:color w:val="1F4E79"/>
                    </w:rPr>
                    <w:t>20</w:t>
                  </w:r>
                  <w:r>
                    <w:rPr>
                      <w:rFonts w:hint="eastAsia"/>
                      <w:color w:val="1F4E79"/>
                    </w:rPr>
                    <w:t>期</w:t>
                  </w:r>
                </w:p>
              </w:txbxContent>
            </v:textbox>
            <w10:wrap type="square" anchorx="margin"/>
          </v:shape>
        </w:pict>
      </w:r>
    </w:p>
    <w:tbl>
      <w:tblPr>
        <w:tblW w:w="9962" w:type="dxa"/>
        <w:tblInd w:w="142" w:type="dxa"/>
        <w:tblLayout w:type="fixed"/>
        <w:tblCellMar>
          <w:left w:w="0" w:type="dxa"/>
          <w:right w:w="0" w:type="dxa"/>
        </w:tblCellMar>
        <w:tblLook w:val="04A0" w:firstRow="1" w:lastRow="0" w:firstColumn="1" w:lastColumn="0" w:noHBand="0" w:noVBand="1"/>
      </w:tblPr>
      <w:tblGrid>
        <w:gridCol w:w="3926"/>
        <w:gridCol w:w="6036"/>
      </w:tblGrid>
      <w:tr w:rsidR="00425B93" w14:paraId="19BBD3E6" w14:textId="77777777">
        <w:trPr>
          <w:trHeight w:val="82"/>
        </w:trPr>
        <w:tc>
          <w:tcPr>
            <w:tcW w:w="3926" w:type="dxa"/>
            <w:tcBorders>
              <w:top w:val="single" w:sz="24" w:space="0" w:color="1F497C"/>
            </w:tcBorders>
            <w:shd w:val="clear" w:color="auto" w:fill="D8D8D8"/>
          </w:tcPr>
          <w:p w14:paraId="19BBD3CB" w14:textId="77777777" w:rsidR="00425B93" w:rsidRDefault="00425B93">
            <w:pPr>
              <w:pStyle w:val="TableParagraph"/>
              <w:rPr>
                <w:sz w:val="24"/>
                <w:lang w:eastAsia="zh-CN"/>
              </w:rPr>
            </w:pPr>
          </w:p>
          <w:p w14:paraId="19BBD3CC" w14:textId="77777777" w:rsidR="00425B93" w:rsidRDefault="00425B93">
            <w:pPr>
              <w:pStyle w:val="TableParagraph"/>
              <w:rPr>
                <w:sz w:val="24"/>
                <w:lang w:eastAsia="zh-CN"/>
              </w:rPr>
            </w:pPr>
          </w:p>
          <w:p w14:paraId="19BBD3CD" w14:textId="77777777" w:rsidR="00425B93" w:rsidRDefault="00425B93">
            <w:pPr>
              <w:pStyle w:val="TableParagraph"/>
              <w:spacing w:line="440" w:lineRule="exact"/>
              <w:ind w:leftChars="44" w:left="92"/>
              <w:rPr>
                <w:rFonts w:ascii="仿宋" w:eastAsia="仿宋" w:hAnsi="仿宋"/>
                <w:sz w:val="24"/>
                <w:lang w:eastAsia="zh-CN"/>
              </w:rPr>
            </w:pPr>
          </w:p>
          <w:p w14:paraId="19BBD3CE" w14:textId="77777777" w:rsidR="00425B93" w:rsidRDefault="00425B93">
            <w:pPr>
              <w:pStyle w:val="TableParagraph"/>
              <w:spacing w:line="440" w:lineRule="exact"/>
              <w:ind w:leftChars="44" w:left="92"/>
              <w:rPr>
                <w:rFonts w:ascii="仿宋" w:eastAsia="仿宋" w:hAnsi="仿宋"/>
                <w:sz w:val="24"/>
                <w:lang w:eastAsia="zh-CN"/>
              </w:rPr>
            </w:pPr>
          </w:p>
          <w:p w14:paraId="19BBD3CF" w14:textId="77777777" w:rsidR="00425B93" w:rsidRDefault="00425B93">
            <w:pPr>
              <w:pStyle w:val="TableParagraph"/>
              <w:ind w:left="0"/>
              <w:rPr>
                <w:rFonts w:ascii="仿宋" w:eastAsia="仿宋" w:hAnsi="仿宋"/>
                <w:sz w:val="24"/>
                <w:lang w:eastAsia="zh-CN"/>
              </w:rPr>
            </w:pPr>
          </w:p>
          <w:p w14:paraId="19BBD3D0" w14:textId="77777777" w:rsidR="00425B93" w:rsidRDefault="00425B93">
            <w:pPr>
              <w:pStyle w:val="TableParagraph"/>
              <w:ind w:left="0"/>
              <w:rPr>
                <w:rFonts w:ascii="仿宋" w:eastAsia="仿宋" w:hAnsi="仿宋"/>
                <w:sz w:val="24"/>
                <w:lang w:eastAsia="zh-CN"/>
              </w:rPr>
            </w:pPr>
          </w:p>
          <w:p w14:paraId="19BBD3D1" w14:textId="77777777" w:rsidR="00425B93" w:rsidRDefault="00425B93">
            <w:pPr>
              <w:pStyle w:val="TableParagraph"/>
              <w:ind w:left="0"/>
              <w:rPr>
                <w:rFonts w:ascii="仿宋" w:eastAsia="仿宋" w:hAnsi="仿宋"/>
                <w:sz w:val="24"/>
                <w:lang w:eastAsia="zh-CN"/>
              </w:rPr>
            </w:pPr>
          </w:p>
          <w:p w14:paraId="19BBD3D2" w14:textId="77777777" w:rsidR="00425B93" w:rsidRDefault="00425B93">
            <w:pPr>
              <w:pStyle w:val="TableParagraph"/>
              <w:ind w:left="0"/>
              <w:rPr>
                <w:szCs w:val="21"/>
                <w:lang w:eastAsia="zh-CN"/>
              </w:rPr>
            </w:pPr>
          </w:p>
          <w:p w14:paraId="19BBD3D3" w14:textId="77777777" w:rsidR="00425B93" w:rsidRDefault="00425B93">
            <w:pPr>
              <w:pStyle w:val="TableParagraph"/>
              <w:ind w:left="0"/>
              <w:rPr>
                <w:szCs w:val="21"/>
                <w:lang w:eastAsia="zh-CN"/>
              </w:rPr>
            </w:pPr>
          </w:p>
          <w:p w14:paraId="19BBD3D4" w14:textId="77777777" w:rsidR="00425B93" w:rsidRDefault="008659C3">
            <w:pPr>
              <w:pStyle w:val="TableParagraph"/>
              <w:spacing w:line="360" w:lineRule="auto"/>
              <w:ind w:leftChars="251" w:left="527"/>
              <w:rPr>
                <w:b/>
                <w:bCs/>
                <w:color w:val="1F4E79"/>
                <w:sz w:val="28"/>
                <w:szCs w:val="24"/>
                <w:lang w:eastAsia="zh-CN"/>
              </w:rPr>
            </w:pPr>
            <w:r>
              <w:rPr>
                <w:rFonts w:hint="eastAsia"/>
                <w:b/>
                <w:bCs/>
                <w:color w:val="1F4E79"/>
                <w:sz w:val="28"/>
                <w:szCs w:val="24"/>
                <w:lang w:eastAsia="zh-CN"/>
              </w:rPr>
              <w:t>编辑：</w:t>
            </w:r>
            <w:r w:rsidR="00421CB0">
              <w:rPr>
                <w:rFonts w:hint="eastAsia"/>
                <w:b/>
                <w:bCs/>
                <w:color w:val="1F4E79"/>
                <w:sz w:val="28"/>
                <w:szCs w:val="24"/>
                <w:lang w:eastAsia="zh-CN"/>
              </w:rPr>
              <w:t>于春春</w:t>
            </w:r>
          </w:p>
          <w:p w14:paraId="19BBD3D5" w14:textId="77777777" w:rsidR="00425B93" w:rsidRDefault="008659C3">
            <w:pPr>
              <w:pStyle w:val="TableParagraph"/>
              <w:spacing w:line="360" w:lineRule="auto"/>
              <w:ind w:leftChars="251" w:left="527"/>
              <w:rPr>
                <w:b/>
                <w:bCs/>
                <w:color w:val="1F4E79"/>
                <w:sz w:val="28"/>
                <w:szCs w:val="24"/>
                <w:lang w:eastAsia="zh-CN"/>
              </w:rPr>
            </w:pPr>
            <w:r>
              <w:rPr>
                <w:rFonts w:hint="eastAsia"/>
                <w:b/>
                <w:bCs/>
                <w:color w:val="1F4E79"/>
                <w:sz w:val="28"/>
                <w:szCs w:val="24"/>
                <w:lang w:eastAsia="zh-CN"/>
              </w:rPr>
              <w:t>审核：范珊珊</w:t>
            </w:r>
          </w:p>
          <w:p w14:paraId="19BBD3D6" w14:textId="77777777" w:rsidR="00425B93" w:rsidRDefault="00425B93">
            <w:pPr>
              <w:pStyle w:val="TableParagraph"/>
              <w:spacing w:line="360" w:lineRule="auto"/>
              <w:ind w:leftChars="251" w:left="527"/>
              <w:rPr>
                <w:sz w:val="24"/>
                <w:lang w:eastAsia="zh-CN"/>
              </w:rPr>
            </w:pPr>
          </w:p>
          <w:p w14:paraId="19BBD3D7" w14:textId="77777777" w:rsidR="00425B93" w:rsidRDefault="00425B93">
            <w:pPr>
              <w:pStyle w:val="TableParagraph"/>
              <w:spacing w:line="360" w:lineRule="auto"/>
              <w:ind w:leftChars="251" w:left="527"/>
              <w:rPr>
                <w:sz w:val="24"/>
                <w:lang w:eastAsia="zh-CN"/>
              </w:rPr>
            </w:pPr>
          </w:p>
          <w:p w14:paraId="19BBD3D8" w14:textId="77777777" w:rsidR="00425B93" w:rsidRDefault="00425B93">
            <w:pPr>
              <w:pStyle w:val="TableParagraph"/>
              <w:spacing w:line="360" w:lineRule="auto"/>
              <w:ind w:leftChars="251" w:left="527"/>
              <w:rPr>
                <w:sz w:val="24"/>
                <w:lang w:eastAsia="zh-CN"/>
              </w:rPr>
            </w:pPr>
          </w:p>
          <w:p w14:paraId="19BBD3D9" w14:textId="77777777" w:rsidR="00425B93" w:rsidRDefault="00425B93">
            <w:pPr>
              <w:pStyle w:val="TableParagraph"/>
              <w:spacing w:line="360" w:lineRule="auto"/>
              <w:ind w:leftChars="251" w:left="527"/>
              <w:rPr>
                <w:sz w:val="24"/>
                <w:lang w:eastAsia="zh-CN"/>
              </w:rPr>
            </w:pPr>
          </w:p>
          <w:p w14:paraId="19BBD3DA" w14:textId="77777777" w:rsidR="00425B93" w:rsidRDefault="00425B93">
            <w:pPr>
              <w:pStyle w:val="TableParagraph"/>
              <w:spacing w:line="360" w:lineRule="auto"/>
              <w:ind w:leftChars="251" w:left="527"/>
              <w:rPr>
                <w:sz w:val="24"/>
                <w:lang w:eastAsia="zh-CN"/>
              </w:rPr>
            </w:pPr>
          </w:p>
          <w:p w14:paraId="19BBD3DB" w14:textId="77777777" w:rsidR="00425B93" w:rsidRDefault="00425B93">
            <w:pPr>
              <w:pStyle w:val="TableParagraph"/>
              <w:spacing w:line="360" w:lineRule="auto"/>
              <w:ind w:leftChars="251" w:left="527"/>
              <w:rPr>
                <w:sz w:val="24"/>
                <w:lang w:eastAsia="zh-CN"/>
              </w:rPr>
            </w:pPr>
          </w:p>
          <w:p w14:paraId="19BBD3DC" w14:textId="77777777" w:rsidR="00425B93" w:rsidRDefault="00425B93">
            <w:pPr>
              <w:pStyle w:val="TableParagraph"/>
              <w:spacing w:line="360" w:lineRule="auto"/>
              <w:ind w:left="0"/>
              <w:rPr>
                <w:sz w:val="24"/>
                <w:lang w:eastAsia="zh-CN"/>
              </w:rPr>
            </w:pPr>
          </w:p>
          <w:p w14:paraId="19BBD3DD" w14:textId="77777777" w:rsidR="00425B93" w:rsidRDefault="00425B93">
            <w:pPr>
              <w:pStyle w:val="TableParagraph"/>
              <w:spacing w:line="360" w:lineRule="auto"/>
              <w:ind w:left="0"/>
              <w:rPr>
                <w:sz w:val="24"/>
                <w:lang w:eastAsia="zh-CN"/>
              </w:rPr>
            </w:pPr>
          </w:p>
        </w:tc>
        <w:tc>
          <w:tcPr>
            <w:tcW w:w="6036" w:type="dxa"/>
            <w:vMerge w:val="restart"/>
            <w:tcBorders>
              <w:top w:val="single" w:sz="24" w:space="0" w:color="1F497C"/>
            </w:tcBorders>
          </w:tcPr>
          <w:p w14:paraId="19BBD3DE" w14:textId="77777777" w:rsidR="00425B93" w:rsidRDefault="00425B93">
            <w:pPr>
              <w:pStyle w:val="TableParagraph"/>
              <w:spacing w:line="297" w:lineRule="auto"/>
              <w:ind w:left="0" w:right="317"/>
              <w:jc w:val="both"/>
              <w:rPr>
                <w:rFonts w:ascii="等线" w:eastAsia="等线" w:hAnsi="等线" w:cs="Times New Roman"/>
                <w:kern w:val="2"/>
                <w:sz w:val="21"/>
                <w:lang w:eastAsia="zh-CN"/>
              </w:rPr>
            </w:pPr>
          </w:p>
          <w:p w14:paraId="19BBD3DF" w14:textId="77777777" w:rsidR="00425B93" w:rsidRDefault="00425B93">
            <w:pPr>
              <w:autoSpaceDE w:val="0"/>
              <w:autoSpaceDN w:val="0"/>
              <w:jc w:val="right"/>
              <w:rPr>
                <w:kern w:val="0"/>
                <w:sz w:val="22"/>
              </w:rPr>
            </w:pPr>
          </w:p>
          <w:p w14:paraId="19BBD3E0" w14:textId="77777777" w:rsidR="001A743B" w:rsidRDefault="001A743B">
            <w:pPr>
              <w:autoSpaceDE w:val="0"/>
              <w:autoSpaceDN w:val="0"/>
              <w:spacing w:line="360" w:lineRule="auto"/>
              <w:ind w:leftChars="200" w:left="420"/>
              <w:jc w:val="center"/>
              <w:rPr>
                <w:rFonts w:ascii="宋体" w:eastAsia="宋体" w:hAnsi="宋体" w:cs="宋体"/>
                <w:b/>
                <w:bCs/>
                <w:color w:val="000000"/>
                <w:spacing w:val="3"/>
                <w:w w:val="99"/>
                <w:kern w:val="0"/>
                <w:sz w:val="36"/>
                <w:szCs w:val="24"/>
              </w:rPr>
            </w:pPr>
          </w:p>
          <w:p w14:paraId="19BBD3E1" w14:textId="1169C6CF" w:rsidR="00425B93" w:rsidRDefault="00AE4724">
            <w:pPr>
              <w:autoSpaceDE w:val="0"/>
              <w:autoSpaceDN w:val="0"/>
              <w:spacing w:line="360" w:lineRule="auto"/>
              <w:ind w:leftChars="200" w:left="420"/>
              <w:jc w:val="center"/>
              <w:rPr>
                <w:rFonts w:ascii="宋体" w:eastAsia="宋体" w:hAnsi="宋体" w:cs="宋体"/>
                <w:b/>
                <w:bCs/>
                <w:color w:val="000000"/>
                <w:spacing w:val="3"/>
                <w:w w:val="99"/>
                <w:kern w:val="0"/>
                <w:sz w:val="36"/>
                <w:szCs w:val="24"/>
              </w:rPr>
            </w:pPr>
            <w:r w:rsidRPr="00AE4724">
              <w:rPr>
                <w:rFonts w:ascii="宋体" w:eastAsia="宋体" w:hAnsi="宋体" w:cs="宋体" w:hint="eastAsia"/>
                <w:b/>
                <w:bCs/>
                <w:color w:val="000000"/>
                <w:spacing w:val="3"/>
                <w:w w:val="99"/>
                <w:kern w:val="0"/>
                <w:sz w:val="36"/>
                <w:szCs w:val="24"/>
              </w:rPr>
              <w:t>国常会：</w:t>
            </w:r>
            <w:r w:rsidR="006A4BF7" w:rsidRPr="006A4BF7">
              <w:rPr>
                <w:rFonts w:ascii="宋体" w:eastAsia="宋体" w:hAnsi="宋体" w:cs="宋体" w:hint="eastAsia"/>
                <w:b/>
                <w:bCs/>
                <w:color w:val="000000"/>
                <w:spacing w:val="3"/>
                <w:w w:val="99"/>
                <w:kern w:val="0"/>
                <w:sz w:val="36"/>
                <w:szCs w:val="24"/>
              </w:rPr>
              <w:t>进一步支持小微企业个体工商户纾困发展</w:t>
            </w:r>
          </w:p>
          <w:p w14:paraId="19BBD3E2" w14:textId="77777777" w:rsidR="001A743B" w:rsidRPr="008B537D" w:rsidRDefault="001A743B">
            <w:pPr>
              <w:autoSpaceDE w:val="0"/>
              <w:autoSpaceDN w:val="0"/>
              <w:spacing w:line="360" w:lineRule="auto"/>
              <w:ind w:leftChars="200" w:left="420"/>
              <w:jc w:val="center"/>
              <w:rPr>
                <w:rFonts w:ascii="宋体" w:eastAsia="宋体" w:hAnsi="宋体"/>
                <w:kern w:val="0"/>
                <w:sz w:val="22"/>
              </w:rPr>
            </w:pPr>
          </w:p>
          <w:p w14:paraId="3911E3F1" w14:textId="77521B67" w:rsidR="006A4BF7" w:rsidRPr="006A4BF7" w:rsidRDefault="006A4BF7" w:rsidP="006A4BF7">
            <w:pPr>
              <w:autoSpaceDE w:val="0"/>
              <w:autoSpaceDN w:val="0"/>
              <w:spacing w:line="276" w:lineRule="auto"/>
              <w:ind w:leftChars="200" w:left="420" w:firstLineChars="200" w:firstLine="640"/>
              <w:rPr>
                <w:sz w:val="32"/>
                <w:szCs w:val="32"/>
              </w:rPr>
            </w:pPr>
            <w:r w:rsidRPr="006A4BF7">
              <w:rPr>
                <w:sz w:val="32"/>
                <w:szCs w:val="32"/>
              </w:rPr>
              <w:t>5月26日召开</w:t>
            </w:r>
            <w:r>
              <w:rPr>
                <w:rFonts w:hint="eastAsia"/>
                <w:sz w:val="32"/>
                <w:szCs w:val="32"/>
              </w:rPr>
              <w:t>的</w:t>
            </w:r>
            <w:r w:rsidRPr="006A4BF7">
              <w:rPr>
                <w:sz w:val="32"/>
                <w:szCs w:val="32"/>
              </w:rPr>
              <w:t>国务院常务会议，部署进一步支持小微企业、个体工商户纾困和发展，确定加强农村义务教育薄弱环节的措施。</w:t>
            </w:r>
          </w:p>
          <w:p w14:paraId="04349279" w14:textId="1DA28D00" w:rsidR="006A4BF7" w:rsidRDefault="006A4BF7" w:rsidP="006A4BF7">
            <w:pPr>
              <w:autoSpaceDE w:val="0"/>
              <w:autoSpaceDN w:val="0"/>
              <w:spacing w:line="276" w:lineRule="auto"/>
              <w:ind w:leftChars="200" w:left="420" w:firstLineChars="200" w:firstLine="640"/>
              <w:rPr>
                <w:rFonts w:ascii="宋体" w:eastAsia="宋体" w:hAnsi="宋体"/>
                <w:kern w:val="0"/>
                <w:sz w:val="22"/>
              </w:rPr>
            </w:pPr>
            <w:r w:rsidRPr="006A4BF7">
              <w:rPr>
                <w:rFonts w:hint="eastAsia"/>
                <w:sz w:val="32"/>
                <w:szCs w:val="32"/>
              </w:rPr>
              <w:t>会议指出，量大面广的小微企业和个体工商户是我国经济韧性、就业韧性的重要支撑。按照党中央、国务院部署，近些年通过持续推进“放管服”改革，特别是去年实施一系列普惠性纾困政策，有力促进了小微企业和个体工商户发展。截至</w:t>
            </w:r>
            <w:r w:rsidRPr="006A4BF7">
              <w:rPr>
                <w:sz w:val="32"/>
                <w:szCs w:val="32"/>
              </w:rPr>
              <w:t>4月末，全国小微企业总数超过4400万户、个体工商户超过9500万户，成为我国就业主力军。当前国内外环境复杂严峻，小微企业、个体工商户生产经营仍面临困难，要继续有针对性加强支持。</w:t>
            </w:r>
          </w:p>
          <w:p w14:paraId="19BBD3E5" w14:textId="7A9E43E5" w:rsidR="00425B93" w:rsidRDefault="00425B93" w:rsidP="006A39F5">
            <w:pPr>
              <w:autoSpaceDE w:val="0"/>
              <w:autoSpaceDN w:val="0"/>
              <w:spacing w:line="276" w:lineRule="auto"/>
              <w:ind w:leftChars="200" w:left="420" w:firstLineChars="200" w:firstLine="440"/>
              <w:rPr>
                <w:rFonts w:ascii="宋体" w:eastAsia="宋体" w:hAnsi="宋体"/>
                <w:kern w:val="0"/>
                <w:sz w:val="22"/>
              </w:rPr>
            </w:pPr>
          </w:p>
        </w:tc>
      </w:tr>
      <w:tr w:rsidR="00425B93" w14:paraId="19BBD3FA" w14:textId="77777777">
        <w:trPr>
          <w:trHeight w:hRule="exact" w:val="4308"/>
        </w:trPr>
        <w:tc>
          <w:tcPr>
            <w:tcW w:w="3926" w:type="dxa"/>
            <w:shd w:val="clear" w:color="auto" w:fill="D8D8D8"/>
          </w:tcPr>
          <w:p w14:paraId="19BBD3E7" w14:textId="77777777" w:rsidR="00425B93" w:rsidRDefault="008659C3">
            <w:pPr>
              <w:pStyle w:val="TableParagraph"/>
              <w:ind w:leftChars="251" w:left="527"/>
              <w:rPr>
                <w:b/>
                <w:bCs/>
                <w:color w:val="1F4E79"/>
                <w:sz w:val="28"/>
                <w:szCs w:val="24"/>
                <w:lang w:eastAsia="zh-CN"/>
              </w:rPr>
            </w:pPr>
            <w:r>
              <w:rPr>
                <w:rFonts w:hint="eastAsia"/>
                <w:b/>
                <w:bCs/>
                <w:color w:val="1F4E79"/>
                <w:sz w:val="28"/>
                <w:szCs w:val="24"/>
                <w:lang w:eastAsia="zh-CN"/>
              </w:rPr>
              <w:t>官方网站：</w:t>
            </w:r>
            <w:r w:rsidR="00B12D27">
              <w:rPr>
                <w:rFonts w:hint="eastAsia"/>
                <w:b/>
                <w:bCs/>
                <w:color w:val="1F4E79"/>
                <w:sz w:val="28"/>
                <w:szCs w:val="24"/>
                <w:lang w:eastAsia="zh-CN"/>
              </w:rPr>
              <w:t>ww</w:t>
            </w:r>
            <w:r w:rsidR="00B12D27">
              <w:rPr>
                <w:b/>
                <w:bCs/>
                <w:color w:val="1F4E79"/>
                <w:sz w:val="28"/>
                <w:szCs w:val="24"/>
                <w:lang w:eastAsia="zh-CN"/>
              </w:rPr>
              <w:t>w.</w:t>
            </w:r>
            <w:r>
              <w:rPr>
                <w:rFonts w:hint="eastAsia"/>
                <w:b/>
                <w:bCs/>
                <w:color w:val="1F4E79"/>
                <w:sz w:val="28"/>
                <w:szCs w:val="24"/>
                <w:lang w:eastAsia="zh-CN"/>
              </w:rPr>
              <w:t>cnfi</w:t>
            </w:r>
            <w:r w:rsidR="00B12D27">
              <w:rPr>
                <w:b/>
                <w:bCs/>
                <w:color w:val="1F4E79"/>
                <w:sz w:val="28"/>
                <w:szCs w:val="24"/>
                <w:lang w:eastAsia="zh-CN"/>
              </w:rPr>
              <w:t>n</w:t>
            </w:r>
            <w:r>
              <w:rPr>
                <w:rFonts w:hint="eastAsia"/>
                <w:b/>
                <w:bCs/>
                <w:color w:val="1F4E79"/>
                <w:sz w:val="28"/>
                <w:szCs w:val="24"/>
                <w:lang w:eastAsia="zh-CN"/>
              </w:rPr>
              <w:t>.com</w:t>
            </w:r>
          </w:p>
          <w:p w14:paraId="19BBD3E8" w14:textId="77777777" w:rsidR="00425B93" w:rsidRDefault="008659C3">
            <w:pPr>
              <w:pStyle w:val="TableParagraph"/>
              <w:ind w:leftChars="251" w:left="527"/>
              <w:rPr>
                <w:b/>
                <w:bCs/>
                <w:color w:val="1F4E79"/>
                <w:sz w:val="28"/>
                <w:szCs w:val="24"/>
                <w:lang w:eastAsia="zh-CN"/>
              </w:rPr>
            </w:pPr>
            <w:r>
              <w:rPr>
                <w:rFonts w:hint="eastAsia"/>
                <w:b/>
                <w:bCs/>
                <w:color w:val="1F4E79"/>
                <w:sz w:val="28"/>
                <w:szCs w:val="24"/>
                <w:lang w:eastAsia="zh-CN"/>
              </w:rPr>
              <w:t>客服热线：400-6123115</w:t>
            </w:r>
          </w:p>
          <w:p w14:paraId="19BBD3E9" w14:textId="77777777" w:rsidR="00425B93" w:rsidRDefault="00425B93">
            <w:pPr>
              <w:widowControl/>
              <w:autoSpaceDE w:val="0"/>
              <w:autoSpaceDN w:val="0"/>
              <w:adjustRightInd w:val="0"/>
              <w:spacing w:line="360" w:lineRule="auto"/>
              <w:rPr>
                <w:rFonts w:ascii="宋体" w:hAnsi="宋体" w:cs="宋体"/>
                <w:kern w:val="0"/>
                <w:sz w:val="23"/>
                <w:szCs w:val="23"/>
                <w:lang w:eastAsia="en-US"/>
              </w:rPr>
            </w:pPr>
          </w:p>
          <w:p w14:paraId="19BBD3EA" w14:textId="77777777" w:rsidR="00425B93" w:rsidRDefault="008659C3">
            <w:pPr>
              <w:autoSpaceDE w:val="0"/>
              <w:autoSpaceDN w:val="0"/>
              <w:jc w:val="center"/>
              <w:rPr>
                <w:kern w:val="0"/>
                <w:sz w:val="22"/>
                <w:lang w:eastAsia="en-US"/>
              </w:rPr>
            </w:pPr>
            <w:r>
              <w:rPr>
                <w:noProof/>
                <w:kern w:val="0"/>
                <w:sz w:val="22"/>
              </w:rPr>
              <w:drawing>
                <wp:inline distT="0" distB="0" distL="0" distR="0" wp14:anchorId="19BBD5C6" wp14:editId="19BBD5C7">
                  <wp:extent cx="1143000" cy="1143000"/>
                  <wp:effectExtent l="19050" t="0" r="0" b="0"/>
                  <wp:docPr id="1" name="图片 1" descr="C:\Users\user\AppData\Local\Temp\WeChat Files\14750feb6268fbdfb3622a0b58b4c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AppData\Local\Temp\WeChat Files\14750feb6268fbdfb3622a0b58b4ca8.jpg"/>
                          <pic:cNvPicPr>
                            <a:picLocks noChangeAspect="1" noChangeArrowheads="1"/>
                          </pic:cNvPicPr>
                        </pic:nvPicPr>
                        <pic:blipFill>
                          <a:blip r:embed="rId9"/>
                          <a:srcRect/>
                          <a:stretch>
                            <a:fillRect/>
                          </a:stretch>
                        </pic:blipFill>
                        <pic:spPr>
                          <a:xfrm>
                            <a:off x="0" y="0"/>
                            <a:ext cx="1143000" cy="1143000"/>
                          </a:xfrm>
                          <a:prstGeom prst="rect">
                            <a:avLst/>
                          </a:prstGeom>
                          <a:noFill/>
                          <a:ln w="9525">
                            <a:noFill/>
                            <a:miter lim="800000"/>
                            <a:headEnd/>
                            <a:tailEnd/>
                          </a:ln>
                        </pic:spPr>
                      </pic:pic>
                    </a:graphicData>
                  </a:graphic>
                </wp:inline>
              </w:drawing>
            </w:r>
          </w:p>
          <w:p w14:paraId="19BBD3EB" w14:textId="77777777" w:rsidR="00425B93" w:rsidRDefault="00425B93">
            <w:pPr>
              <w:autoSpaceDE w:val="0"/>
              <w:autoSpaceDN w:val="0"/>
              <w:rPr>
                <w:kern w:val="0"/>
                <w:sz w:val="22"/>
                <w:lang w:eastAsia="en-US"/>
              </w:rPr>
            </w:pPr>
          </w:p>
          <w:p w14:paraId="19BBD3EC" w14:textId="77777777" w:rsidR="00425B93" w:rsidRDefault="00425B93">
            <w:pPr>
              <w:autoSpaceDE w:val="0"/>
              <w:autoSpaceDN w:val="0"/>
              <w:rPr>
                <w:kern w:val="0"/>
                <w:sz w:val="22"/>
                <w:lang w:eastAsia="en-US"/>
              </w:rPr>
            </w:pPr>
          </w:p>
          <w:p w14:paraId="19BBD3ED" w14:textId="77777777" w:rsidR="00425B93" w:rsidRDefault="00425B93">
            <w:pPr>
              <w:autoSpaceDE w:val="0"/>
              <w:autoSpaceDN w:val="0"/>
              <w:rPr>
                <w:kern w:val="0"/>
                <w:sz w:val="22"/>
                <w:lang w:eastAsia="en-US"/>
              </w:rPr>
            </w:pPr>
          </w:p>
          <w:p w14:paraId="19BBD3EE" w14:textId="77777777" w:rsidR="00425B93" w:rsidRDefault="00425B93">
            <w:pPr>
              <w:autoSpaceDE w:val="0"/>
              <w:autoSpaceDN w:val="0"/>
              <w:rPr>
                <w:kern w:val="0"/>
                <w:sz w:val="22"/>
                <w:lang w:eastAsia="en-US"/>
              </w:rPr>
            </w:pPr>
          </w:p>
          <w:p w14:paraId="19BBD3EF" w14:textId="77777777" w:rsidR="00425B93" w:rsidRDefault="00425B93">
            <w:pPr>
              <w:autoSpaceDE w:val="0"/>
              <w:autoSpaceDN w:val="0"/>
              <w:rPr>
                <w:kern w:val="0"/>
                <w:sz w:val="22"/>
                <w:lang w:eastAsia="en-US"/>
              </w:rPr>
            </w:pPr>
          </w:p>
          <w:p w14:paraId="19BBD3F0" w14:textId="77777777" w:rsidR="00425B93" w:rsidRDefault="00425B93">
            <w:pPr>
              <w:autoSpaceDE w:val="0"/>
              <w:autoSpaceDN w:val="0"/>
              <w:rPr>
                <w:kern w:val="0"/>
                <w:sz w:val="22"/>
                <w:lang w:eastAsia="en-US"/>
              </w:rPr>
            </w:pPr>
          </w:p>
          <w:p w14:paraId="19BBD3F1" w14:textId="77777777" w:rsidR="00425B93" w:rsidRDefault="00425B93">
            <w:pPr>
              <w:autoSpaceDE w:val="0"/>
              <w:autoSpaceDN w:val="0"/>
              <w:rPr>
                <w:kern w:val="0"/>
                <w:sz w:val="22"/>
                <w:lang w:eastAsia="en-US"/>
              </w:rPr>
            </w:pPr>
          </w:p>
          <w:p w14:paraId="19BBD3F2" w14:textId="77777777" w:rsidR="00425B93" w:rsidRDefault="00425B93">
            <w:pPr>
              <w:autoSpaceDE w:val="0"/>
              <w:autoSpaceDN w:val="0"/>
              <w:rPr>
                <w:kern w:val="0"/>
                <w:sz w:val="22"/>
                <w:lang w:eastAsia="en-US"/>
              </w:rPr>
            </w:pPr>
          </w:p>
          <w:p w14:paraId="19BBD3F3" w14:textId="77777777" w:rsidR="00425B93" w:rsidRDefault="00425B93">
            <w:pPr>
              <w:autoSpaceDE w:val="0"/>
              <w:autoSpaceDN w:val="0"/>
              <w:rPr>
                <w:kern w:val="0"/>
                <w:sz w:val="22"/>
                <w:lang w:eastAsia="en-US"/>
              </w:rPr>
            </w:pPr>
          </w:p>
          <w:p w14:paraId="19BBD3F4" w14:textId="77777777" w:rsidR="00425B93" w:rsidRDefault="00425B93">
            <w:pPr>
              <w:autoSpaceDE w:val="0"/>
              <w:autoSpaceDN w:val="0"/>
              <w:rPr>
                <w:kern w:val="0"/>
                <w:sz w:val="22"/>
                <w:lang w:eastAsia="en-US"/>
              </w:rPr>
            </w:pPr>
          </w:p>
          <w:p w14:paraId="19BBD3F5" w14:textId="77777777" w:rsidR="00425B93" w:rsidRDefault="00425B93">
            <w:pPr>
              <w:autoSpaceDE w:val="0"/>
              <w:autoSpaceDN w:val="0"/>
              <w:rPr>
                <w:kern w:val="0"/>
                <w:sz w:val="22"/>
                <w:lang w:eastAsia="en-US"/>
              </w:rPr>
            </w:pPr>
          </w:p>
          <w:p w14:paraId="19BBD3F6" w14:textId="77777777" w:rsidR="00425B93" w:rsidRDefault="00425B93">
            <w:pPr>
              <w:autoSpaceDE w:val="0"/>
              <w:autoSpaceDN w:val="0"/>
              <w:rPr>
                <w:kern w:val="0"/>
                <w:sz w:val="22"/>
                <w:lang w:eastAsia="en-US"/>
              </w:rPr>
            </w:pPr>
          </w:p>
          <w:p w14:paraId="19BBD3F7" w14:textId="77777777" w:rsidR="00425B93" w:rsidRDefault="00425B93">
            <w:pPr>
              <w:autoSpaceDE w:val="0"/>
              <w:autoSpaceDN w:val="0"/>
              <w:jc w:val="center"/>
              <w:rPr>
                <w:kern w:val="0"/>
                <w:sz w:val="22"/>
                <w:lang w:eastAsia="en-US"/>
              </w:rPr>
            </w:pPr>
          </w:p>
          <w:p w14:paraId="19BBD3F8" w14:textId="77777777" w:rsidR="00425B93" w:rsidRDefault="008659C3">
            <w:pPr>
              <w:tabs>
                <w:tab w:val="left" w:pos="880"/>
              </w:tabs>
              <w:autoSpaceDE w:val="0"/>
              <w:autoSpaceDN w:val="0"/>
              <w:rPr>
                <w:kern w:val="0"/>
                <w:sz w:val="22"/>
                <w:lang w:eastAsia="en-US"/>
              </w:rPr>
            </w:pPr>
            <w:r>
              <w:rPr>
                <w:kern w:val="0"/>
                <w:sz w:val="22"/>
                <w:lang w:eastAsia="en-US"/>
              </w:rPr>
              <w:tab/>
            </w:r>
          </w:p>
        </w:tc>
        <w:tc>
          <w:tcPr>
            <w:tcW w:w="6036" w:type="dxa"/>
            <w:vMerge/>
          </w:tcPr>
          <w:p w14:paraId="19BBD3F9" w14:textId="77777777" w:rsidR="00425B93" w:rsidRDefault="00425B93">
            <w:pPr>
              <w:autoSpaceDE w:val="0"/>
              <w:autoSpaceDN w:val="0"/>
              <w:rPr>
                <w:kern w:val="0"/>
                <w:sz w:val="22"/>
                <w:lang w:eastAsia="en-US"/>
              </w:rPr>
            </w:pPr>
          </w:p>
        </w:tc>
      </w:tr>
    </w:tbl>
    <w:p w14:paraId="457D1780" w14:textId="77777777" w:rsidR="000444BE" w:rsidRDefault="008659C3" w:rsidP="003F1877">
      <w:pPr>
        <w:spacing w:beforeLines="50" w:before="156" w:afterLines="50" w:after="156"/>
        <w:jc w:val="center"/>
        <w:rPr>
          <w:noProof/>
        </w:rPr>
      </w:pPr>
      <w:bookmarkStart w:id="0" w:name="_Toc18669450"/>
      <w:r>
        <w:rPr>
          <w:rFonts w:ascii="黑体" w:eastAsia="黑体" w:hAnsi="黑体" w:hint="eastAsia"/>
          <w:b/>
          <w:bCs/>
          <w:sz w:val="36"/>
          <w:szCs w:val="40"/>
        </w:rPr>
        <w:br w:type="page"/>
      </w:r>
      <w:r>
        <w:rPr>
          <w:rFonts w:ascii="黑体" w:eastAsia="黑体" w:hAnsi="黑体" w:hint="eastAsia"/>
          <w:b/>
          <w:bCs/>
          <w:sz w:val="36"/>
          <w:szCs w:val="40"/>
        </w:rPr>
        <w:lastRenderedPageBreak/>
        <w:t>目录</w:t>
      </w:r>
      <w:bookmarkEnd w:id="0"/>
      <w:r w:rsidR="006D46F5">
        <w:fldChar w:fldCharType="begin"/>
      </w:r>
      <w:r>
        <w:instrText xml:space="preserve"> TOC \o "1-3" \h \z \u </w:instrText>
      </w:r>
      <w:r w:rsidR="006D46F5">
        <w:fldChar w:fldCharType="separate"/>
      </w:r>
    </w:p>
    <w:p w14:paraId="6AFB5DB8" w14:textId="5E1817C9" w:rsidR="000444BE" w:rsidRDefault="000444BE">
      <w:pPr>
        <w:pStyle w:val="TOC1"/>
        <w:tabs>
          <w:tab w:val="right" w:leader="dot" w:pos="9774"/>
        </w:tabs>
        <w:rPr>
          <w:rFonts w:asciiTheme="minorHAnsi" w:eastAsiaTheme="minorEastAsia" w:hAnsiTheme="minorHAnsi" w:cstheme="minorBidi"/>
          <w:b w:val="0"/>
          <w:noProof/>
          <w:sz w:val="21"/>
        </w:rPr>
      </w:pPr>
      <w:hyperlink w:anchor="_Toc73300052" w:history="1">
        <w:r w:rsidRPr="00747A83">
          <w:rPr>
            <w:rStyle w:val="af3"/>
            <w:noProof/>
          </w:rPr>
          <w:t>【一周焦点】</w:t>
        </w:r>
        <w:r>
          <w:rPr>
            <w:noProof/>
            <w:webHidden/>
          </w:rPr>
          <w:tab/>
        </w:r>
        <w:r>
          <w:rPr>
            <w:noProof/>
            <w:webHidden/>
          </w:rPr>
          <w:fldChar w:fldCharType="begin"/>
        </w:r>
        <w:r>
          <w:rPr>
            <w:noProof/>
            <w:webHidden/>
          </w:rPr>
          <w:instrText xml:space="preserve"> PAGEREF _Toc73300052 \h </w:instrText>
        </w:r>
        <w:r>
          <w:rPr>
            <w:noProof/>
            <w:webHidden/>
          </w:rPr>
        </w:r>
        <w:r>
          <w:rPr>
            <w:noProof/>
            <w:webHidden/>
          </w:rPr>
          <w:fldChar w:fldCharType="separate"/>
        </w:r>
        <w:r w:rsidR="00896AD8">
          <w:rPr>
            <w:noProof/>
            <w:webHidden/>
          </w:rPr>
          <w:t>4</w:t>
        </w:r>
        <w:r>
          <w:rPr>
            <w:noProof/>
            <w:webHidden/>
          </w:rPr>
          <w:fldChar w:fldCharType="end"/>
        </w:r>
      </w:hyperlink>
    </w:p>
    <w:p w14:paraId="48473BFA" w14:textId="56A0067B"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53" w:history="1">
        <w:r w:rsidRPr="00747A83">
          <w:rPr>
            <w:rStyle w:val="af3"/>
            <w:noProof/>
          </w:rPr>
          <w:t>国常会：进一步支持小微企业个体工商户纾困发展</w:t>
        </w:r>
        <w:r>
          <w:rPr>
            <w:noProof/>
            <w:webHidden/>
          </w:rPr>
          <w:tab/>
        </w:r>
        <w:r>
          <w:rPr>
            <w:noProof/>
            <w:webHidden/>
          </w:rPr>
          <w:fldChar w:fldCharType="begin"/>
        </w:r>
        <w:r>
          <w:rPr>
            <w:noProof/>
            <w:webHidden/>
          </w:rPr>
          <w:instrText xml:space="preserve"> PAGEREF _Toc73300053 \h </w:instrText>
        </w:r>
        <w:r>
          <w:rPr>
            <w:noProof/>
            <w:webHidden/>
          </w:rPr>
        </w:r>
        <w:r>
          <w:rPr>
            <w:noProof/>
            <w:webHidden/>
          </w:rPr>
          <w:fldChar w:fldCharType="separate"/>
        </w:r>
        <w:r w:rsidR="00896AD8">
          <w:rPr>
            <w:noProof/>
            <w:webHidden/>
          </w:rPr>
          <w:t>4</w:t>
        </w:r>
        <w:r>
          <w:rPr>
            <w:noProof/>
            <w:webHidden/>
          </w:rPr>
          <w:fldChar w:fldCharType="end"/>
        </w:r>
      </w:hyperlink>
    </w:p>
    <w:p w14:paraId="6FD4C174" w14:textId="3D6E96C6" w:rsidR="000444BE" w:rsidRDefault="000444BE">
      <w:pPr>
        <w:pStyle w:val="TOC1"/>
        <w:tabs>
          <w:tab w:val="right" w:leader="dot" w:pos="9774"/>
        </w:tabs>
        <w:rPr>
          <w:rFonts w:asciiTheme="minorHAnsi" w:eastAsiaTheme="minorEastAsia" w:hAnsiTheme="minorHAnsi" w:cstheme="minorBidi"/>
          <w:b w:val="0"/>
          <w:noProof/>
          <w:sz w:val="21"/>
        </w:rPr>
      </w:pPr>
      <w:hyperlink w:anchor="_Toc73300054" w:history="1">
        <w:r w:rsidRPr="00747A83">
          <w:rPr>
            <w:rStyle w:val="af3"/>
            <w:noProof/>
          </w:rPr>
          <w:t>【经验交流】</w:t>
        </w:r>
        <w:r>
          <w:rPr>
            <w:noProof/>
            <w:webHidden/>
          </w:rPr>
          <w:tab/>
        </w:r>
        <w:r>
          <w:rPr>
            <w:noProof/>
            <w:webHidden/>
          </w:rPr>
          <w:fldChar w:fldCharType="begin"/>
        </w:r>
        <w:r>
          <w:rPr>
            <w:noProof/>
            <w:webHidden/>
          </w:rPr>
          <w:instrText xml:space="preserve"> PAGEREF _Toc73300054 \h </w:instrText>
        </w:r>
        <w:r>
          <w:rPr>
            <w:noProof/>
            <w:webHidden/>
          </w:rPr>
        </w:r>
        <w:r>
          <w:rPr>
            <w:noProof/>
            <w:webHidden/>
          </w:rPr>
          <w:fldChar w:fldCharType="separate"/>
        </w:r>
        <w:r w:rsidR="00896AD8">
          <w:rPr>
            <w:noProof/>
            <w:webHidden/>
          </w:rPr>
          <w:t>5</w:t>
        </w:r>
        <w:r>
          <w:rPr>
            <w:noProof/>
            <w:webHidden/>
          </w:rPr>
          <w:fldChar w:fldCharType="end"/>
        </w:r>
      </w:hyperlink>
    </w:p>
    <w:p w14:paraId="500E84F6" w14:textId="12402183"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55" w:history="1">
        <w:r w:rsidRPr="00747A83">
          <w:rPr>
            <w:rStyle w:val="af3"/>
            <w:noProof/>
          </w:rPr>
          <w:t>如何打造深港跨境金融创新</w:t>
        </w:r>
        <w:r w:rsidRPr="00747A83">
          <w:rPr>
            <w:rStyle w:val="af3"/>
            <w:noProof/>
          </w:rPr>
          <w:t>“</w:t>
        </w:r>
        <w:r w:rsidRPr="00747A83">
          <w:rPr>
            <w:rStyle w:val="af3"/>
            <w:noProof/>
          </w:rPr>
          <w:t>高速公路</w:t>
        </w:r>
        <w:r w:rsidRPr="00747A83">
          <w:rPr>
            <w:rStyle w:val="af3"/>
            <w:noProof/>
          </w:rPr>
          <w:t>”——</w:t>
        </w:r>
        <w:r w:rsidRPr="00747A83">
          <w:rPr>
            <w:rStyle w:val="af3"/>
            <w:noProof/>
          </w:rPr>
          <w:t>专访中国人民银行深圳市中心支行党委书记、行长邢毓静</w:t>
        </w:r>
        <w:r>
          <w:rPr>
            <w:noProof/>
            <w:webHidden/>
          </w:rPr>
          <w:tab/>
        </w:r>
        <w:r>
          <w:rPr>
            <w:noProof/>
            <w:webHidden/>
          </w:rPr>
          <w:fldChar w:fldCharType="begin"/>
        </w:r>
        <w:r>
          <w:rPr>
            <w:noProof/>
            <w:webHidden/>
          </w:rPr>
          <w:instrText xml:space="preserve"> PAGEREF _Toc73300055 \h </w:instrText>
        </w:r>
        <w:r>
          <w:rPr>
            <w:noProof/>
            <w:webHidden/>
          </w:rPr>
        </w:r>
        <w:r>
          <w:rPr>
            <w:noProof/>
            <w:webHidden/>
          </w:rPr>
          <w:fldChar w:fldCharType="separate"/>
        </w:r>
        <w:r w:rsidR="00896AD8">
          <w:rPr>
            <w:noProof/>
            <w:webHidden/>
          </w:rPr>
          <w:t>5</w:t>
        </w:r>
        <w:r>
          <w:rPr>
            <w:noProof/>
            <w:webHidden/>
          </w:rPr>
          <w:fldChar w:fldCharType="end"/>
        </w:r>
      </w:hyperlink>
    </w:p>
    <w:p w14:paraId="580FBB17" w14:textId="0E1A883D" w:rsidR="000444BE" w:rsidRDefault="000444BE">
      <w:pPr>
        <w:pStyle w:val="TOC1"/>
        <w:tabs>
          <w:tab w:val="right" w:leader="dot" w:pos="9774"/>
        </w:tabs>
        <w:rPr>
          <w:rFonts w:asciiTheme="minorHAnsi" w:eastAsiaTheme="minorEastAsia" w:hAnsiTheme="minorHAnsi" w:cstheme="minorBidi"/>
          <w:b w:val="0"/>
          <w:noProof/>
          <w:sz w:val="21"/>
        </w:rPr>
      </w:pPr>
      <w:hyperlink w:anchor="_Toc73300056" w:history="1">
        <w:r w:rsidRPr="00747A83">
          <w:rPr>
            <w:rStyle w:val="af3"/>
            <w:noProof/>
          </w:rPr>
          <w:t>【政策要闻】</w:t>
        </w:r>
        <w:r>
          <w:rPr>
            <w:noProof/>
            <w:webHidden/>
          </w:rPr>
          <w:tab/>
        </w:r>
        <w:r>
          <w:rPr>
            <w:noProof/>
            <w:webHidden/>
          </w:rPr>
          <w:fldChar w:fldCharType="begin"/>
        </w:r>
        <w:r>
          <w:rPr>
            <w:noProof/>
            <w:webHidden/>
          </w:rPr>
          <w:instrText xml:space="preserve"> PAGEREF _Toc73300056 \h </w:instrText>
        </w:r>
        <w:r>
          <w:rPr>
            <w:noProof/>
            <w:webHidden/>
          </w:rPr>
        </w:r>
        <w:r>
          <w:rPr>
            <w:noProof/>
            <w:webHidden/>
          </w:rPr>
          <w:fldChar w:fldCharType="separate"/>
        </w:r>
        <w:r w:rsidR="00896AD8">
          <w:rPr>
            <w:noProof/>
            <w:webHidden/>
          </w:rPr>
          <w:t>7</w:t>
        </w:r>
        <w:r>
          <w:rPr>
            <w:noProof/>
            <w:webHidden/>
          </w:rPr>
          <w:fldChar w:fldCharType="end"/>
        </w:r>
      </w:hyperlink>
    </w:p>
    <w:p w14:paraId="6E894682" w14:textId="53042D53"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57" w:history="1">
        <w:r w:rsidRPr="00747A83">
          <w:rPr>
            <w:rStyle w:val="af3"/>
            <w:noProof/>
          </w:rPr>
          <w:t>五部门联合约谈提醒大宗商品重点企业</w:t>
        </w:r>
        <w:r>
          <w:rPr>
            <w:noProof/>
            <w:webHidden/>
          </w:rPr>
          <w:tab/>
        </w:r>
        <w:r>
          <w:rPr>
            <w:noProof/>
            <w:webHidden/>
          </w:rPr>
          <w:fldChar w:fldCharType="begin"/>
        </w:r>
        <w:r>
          <w:rPr>
            <w:noProof/>
            <w:webHidden/>
          </w:rPr>
          <w:instrText xml:space="preserve"> PAGEREF _Toc73300057 \h </w:instrText>
        </w:r>
        <w:r>
          <w:rPr>
            <w:noProof/>
            <w:webHidden/>
          </w:rPr>
        </w:r>
        <w:r>
          <w:rPr>
            <w:noProof/>
            <w:webHidden/>
          </w:rPr>
          <w:fldChar w:fldCharType="separate"/>
        </w:r>
        <w:r w:rsidR="00896AD8">
          <w:rPr>
            <w:noProof/>
            <w:webHidden/>
          </w:rPr>
          <w:t>7</w:t>
        </w:r>
        <w:r>
          <w:rPr>
            <w:noProof/>
            <w:webHidden/>
          </w:rPr>
          <w:fldChar w:fldCharType="end"/>
        </w:r>
      </w:hyperlink>
    </w:p>
    <w:p w14:paraId="2362CB4F" w14:textId="0A31A207"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58" w:history="1">
        <w:r w:rsidRPr="00747A83">
          <w:rPr>
            <w:rStyle w:val="af3"/>
            <w:noProof/>
          </w:rPr>
          <w:t>六部门：稳妥扩大农村普惠金融改革试点</w:t>
        </w:r>
        <w:r>
          <w:rPr>
            <w:noProof/>
            <w:webHidden/>
          </w:rPr>
          <w:tab/>
        </w:r>
        <w:r>
          <w:rPr>
            <w:noProof/>
            <w:webHidden/>
          </w:rPr>
          <w:fldChar w:fldCharType="begin"/>
        </w:r>
        <w:r>
          <w:rPr>
            <w:noProof/>
            <w:webHidden/>
          </w:rPr>
          <w:instrText xml:space="preserve"> PAGEREF _Toc73300058 \h </w:instrText>
        </w:r>
        <w:r>
          <w:rPr>
            <w:noProof/>
            <w:webHidden/>
          </w:rPr>
        </w:r>
        <w:r>
          <w:rPr>
            <w:noProof/>
            <w:webHidden/>
          </w:rPr>
          <w:fldChar w:fldCharType="separate"/>
        </w:r>
        <w:r w:rsidR="00896AD8">
          <w:rPr>
            <w:noProof/>
            <w:webHidden/>
          </w:rPr>
          <w:t>8</w:t>
        </w:r>
        <w:r>
          <w:rPr>
            <w:noProof/>
            <w:webHidden/>
          </w:rPr>
          <w:fldChar w:fldCharType="end"/>
        </w:r>
      </w:hyperlink>
    </w:p>
    <w:p w14:paraId="201E66B3" w14:textId="7D552107"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59" w:history="1">
        <w:r w:rsidRPr="00747A83">
          <w:rPr>
            <w:rStyle w:val="af3"/>
            <w:noProof/>
          </w:rPr>
          <w:t>四部门：建设全国一体化算力网络国家枢纽节点</w:t>
        </w:r>
        <w:r>
          <w:rPr>
            <w:noProof/>
            <w:webHidden/>
          </w:rPr>
          <w:tab/>
        </w:r>
        <w:r>
          <w:rPr>
            <w:noProof/>
            <w:webHidden/>
          </w:rPr>
          <w:fldChar w:fldCharType="begin"/>
        </w:r>
        <w:r>
          <w:rPr>
            <w:noProof/>
            <w:webHidden/>
          </w:rPr>
          <w:instrText xml:space="preserve"> PAGEREF _Toc73300059 \h </w:instrText>
        </w:r>
        <w:r>
          <w:rPr>
            <w:noProof/>
            <w:webHidden/>
          </w:rPr>
        </w:r>
        <w:r>
          <w:rPr>
            <w:noProof/>
            <w:webHidden/>
          </w:rPr>
          <w:fldChar w:fldCharType="separate"/>
        </w:r>
        <w:r w:rsidR="00896AD8">
          <w:rPr>
            <w:noProof/>
            <w:webHidden/>
          </w:rPr>
          <w:t>9</w:t>
        </w:r>
        <w:r>
          <w:rPr>
            <w:noProof/>
            <w:webHidden/>
          </w:rPr>
          <w:fldChar w:fldCharType="end"/>
        </w:r>
      </w:hyperlink>
    </w:p>
    <w:p w14:paraId="4956A211" w14:textId="64F2198C"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60" w:history="1">
        <w:r w:rsidRPr="00747A83">
          <w:rPr>
            <w:rStyle w:val="af3"/>
            <w:noProof/>
          </w:rPr>
          <w:t>生态环境部：全国碳市场拟于</w:t>
        </w:r>
        <w:r w:rsidRPr="00747A83">
          <w:rPr>
            <w:rStyle w:val="af3"/>
            <w:noProof/>
          </w:rPr>
          <w:t>6</w:t>
        </w:r>
        <w:r w:rsidRPr="00747A83">
          <w:rPr>
            <w:rStyle w:val="af3"/>
            <w:noProof/>
          </w:rPr>
          <w:t>月底前启动</w:t>
        </w:r>
        <w:r>
          <w:rPr>
            <w:noProof/>
            <w:webHidden/>
          </w:rPr>
          <w:tab/>
        </w:r>
        <w:r>
          <w:rPr>
            <w:noProof/>
            <w:webHidden/>
          </w:rPr>
          <w:fldChar w:fldCharType="begin"/>
        </w:r>
        <w:r>
          <w:rPr>
            <w:noProof/>
            <w:webHidden/>
          </w:rPr>
          <w:instrText xml:space="preserve"> PAGEREF _Toc73300060 \h </w:instrText>
        </w:r>
        <w:r>
          <w:rPr>
            <w:noProof/>
            <w:webHidden/>
          </w:rPr>
        </w:r>
        <w:r>
          <w:rPr>
            <w:noProof/>
            <w:webHidden/>
          </w:rPr>
          <w:fldChar w:fldCharType="separate"/>
        </w:r>
        <w:r w:rsidR="00896AD8">
          <w:rPr>
            <w:noProof/>
            <w:webHidden/>
          </w:rPr>
          <w:t>10</w:t>
        </w:r>
        <w:r>
          <w:rPr>
            <w:noProof/>
            <w:webHidden/>
          </w:rPr>
          <w:fldChar w:fldCharType="end"/>
        </w:r>
      </w:hyperlink>
    </w:p>
    <w:p w14:paraId="1B943321" w14:textId="26902EDC"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61" w:history="1">
        <w:r w:rsidRPr="00747A83">
          <w:rPr>
            <w:rStyle w:val="af3"/>
            <w:noProof/>
          </w:rPr>
          <w:t>商务部：将引导跨国公司地区总部向海南自贸港集聚</w:t>
        </w:r>
        <w:r>
          <w:rPr>
            <w:noProof/>
            <w:webHidden/>
          </w:rPr>
          <w:tab/>
        </w:r>
        <w:r>
          <w:rPr>
            <w:noProof/>
            <w:webHidden/>
          </w:rPr>
          <w:fldChar w:fldCharType="begin"/>
        </w:r>
        <w:r>
          <w:rPr>
            <w:noProof/>
            <w:webHidden/>
          </w:rPr>
          <w:instrText xml:space="preserve"> PAGEREF _Toc73300061 \h </w:instrText>
        </w:r>
        <w:r>
          <w:rPr>
            <w:noProof/>
            <w:webHidden/>
          </w:rPr>
        </w:r>
        <w:r>
          <w:rPr>
            <w:noProof/>
            <w:webHidden/>
          </w:rPr>
          <w:fldChar w:fldCharType="separate"/>
        </w:r>
        <w:r w:rsidR="00896AD8">
          <w:rPr>
            <w:noProof/>
            <w:webHidden/>
          </w:rPr>
          <w:t>11</w:t>
        </w:r>
        <w:r>
          <w:rPr>
            <w:noProof/>
            <w:webHidden/>
          </w:rPr>
          <w:fldChar w:fldCharType="end"/>
        </w:r>
      </w:hyperlink>
    </w:p>
    <w:p w14:paraId="1F7A415F" w14:textId="4DE3305B"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62" w:history="1">
        <w:r w:rsidRPr="00747A83">
          <w:rPr>
            <w:rStyle w:val="af3"/>
            <w:noProof/>
          </w:rPr>
          <w:t>全国外汇市场自律机制会议：人民币既可能升值也可能贬值</w:t>
        </w:r>
        <w:r>
          <w:rPr>
            <w:noProof/>
            <w:webHidden/>
          </w:rPr>
          <w:tab/>
        </w:r>
        <w:r>
          <w:rPr>
            <w:noProof/>
            <w:webHidden/>
          </w:rPr>
          <w:fldChar w:fldCharType="begin"/>
        </w:r>
        <w:r>
          <w:rPr>
            <w:noProof/>
            <w:webHidden/>
          </w:rPr>
          <w:instrText xml:space="preserve"> PAGEREF _Toc73300062 \h </w:instrText>
        </w:r>
        <w:r>
          <w:rPr>
            <w:noProof/>
            <w:webHidden/>
          </w:rPr>
        </w:r>
        <w:r>
          <w:rPr>
            <w:noProof/>
            <w:webHidden/>
          </w:rPr>
          <w:fldChar w:fldCharType="separate"/>
        </w:r>
        <w:r w:rsidR="00896AD8">
          <w:rPr>
            <w:noProof/>
            <w:webHidden/>
          </w:rPr>
          <w:t>11</w:t>
        </w:r>
        <w:r>
          <w:rPr>
            <w:noProof/>
            <w:webHidden/>
          </w:rPr>
          <w:fldChar w:fldCharType="end"/>
        </w:r>
      </w:hyperlink>
    </w:p>
    <w:p w14:paraId="302A9ED2" w14:textId="1340AE27"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63" w:history="1">
        <w:r w:rsidRPr="00747A83">
          <w:rPr>
            <w:rStyle w:val="af3"/>
            <w:noProof/>
          </w:rPr>
          <w:t>证监会完善新三板终止挂牌制度</w:t>
        </w:r>
        <w:r>
          <w:rPr>
            <w:noProof/>
            <w:webHidden/>
          </w:rPr>
          <w:tab/>
        </w:r>
        <w:r>
          <w:rPr>
            <w:noProof/>
            <w:webHidden/>
          </w:rPr>
          <w:fldChar w:fldCharType="begin"/>
        </w:r>
        <w:r>
          <w:rPr>
            <w:noProof/>
            <w:webHidden/>
          </w:rPr>
          <w:instrText xml:space="preserve"> PAGEREF _Toc73300063 \h </w:instrText>
        </w:r>
        <w:r>
          <w:rPr>
            <w:noProof/>
            <w:webHidden/>
          </w:rPr>
        </w:r>
        <w:r>
          <w:rPr>
            <w:noProof/>
            <w:webHidden/>
          </w:rPr>
          <w:fldChar w:fldCharType="separate"/>
        </w:r>
        <w:r w:rsidR="00896AD8">
          <w:rPr>
            <w:noProof/>
            <w:webHidden/>
          </w:rPr>
          <w:t>12</w:t>
        </w:r>
        <w:r>
          <w:rPr>
            <w:noProof/>
            <w:webHidden/>
          </w:rPr>
          <w:fldChar w:fldCharType="end"/>
        </w:r>
      </w:hyperlink>
    </w:p>
    <w:p w14:paraId="6E1BB8CD" w14:textId="640FEE19"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64" w:history="1">
        <w:r w:rsidRPr="00747A83">
          <w:rPr>
            <w:rStyle w:val="af3"/>
            <w:noProof/>
          </w:rPr>
          <w:t>深交所发放减负</w:t>
        </w:r>
        <w:r w:rsidRPr="00747A83">
          <w:rPr>
            <w:rStyle w:val="af3"/>
            <w:noProof/>
          </w:rPr>
          <w:t>“</w:t>
        </w:r>
        <w:r w:rsidRPr="00747A83">
          <w:rPr>
            <w:rStyle w:val="af3"/>
            <w:noProof/>
          </w:rPr>
          <w:t>大礼包</w:t>
        </w:r>
        <w:r w:rsidRPr="00747A83">
          <w:rPr>
            <w:rStyle w:val="af3"/>
            <w:noProof/>
          </w:rPr>
          <w:t>”</w:t>
        </w:r>
        <w:r w:rsidRPr="00747A83">
          <w:rPr>
            <w:rStyle w:val="af3"/>
            <w:noProof/>
          </w:rPr>
          <w:t>！逾</w:t>
        </w:r>
        <w:r w:rsidRPr="00747A83">
          <w:rPr>
            <w:rStyle w:val="af3"/>
            <w:noProof/>
          </w:rPr>
          <w:t>65%</w:t>
        </w:r>
        <w:r w:rsidRPr="00747A83">
          <w:rPr>
            <w:rStyle w:val="af3"/>
            <w:noProof/>
          </w:rPr>
          <w:t>的深市公司将暂免缴纳上市费</w:t>
        </w:r>
        <w:r>
          <w:rPr>
            <w:noProof/>
            <w:webHidden/>
          </w:rPr>
          <w:tab/>
        </w:r>
        <w:r>
          <w:rPr>
            <w:noProof/>
            <w:webHidden/>
          </w:rPr>
          <w:fldChar w:fldCharType="begin"/>
        </w:r>
        <w:r>
          <w:rPr>
            <w:noProof/>
            <w:webHidden/>
          </w:rPr>
          <w:instrText xml:space="preserve"> PAGEREF _Toc73300064 \h </w:instrText>
        </w:r>
        <w:r>
          <w:rPr>
            <w:noProof/>
            <w:webHidden/>
          </w:rPr>
        </w:r>
        <w:r>
          <w:rPr>
            <w:noProof/>
            <w:webHidden/>
          </w:rPr>
          <w:fldChar w:fldCharType="separate"/>
        </w:r>
        <w:r w:rsidR="00896AD8">
          <w:rPr>
            <w:noProof/>
            <w:webHidden/>
          </w:rPr>
          <w:t>13</w:t>
        </w:r>
        <w:r>
          <w:rPr>
            <w:noProof/>
            <w:webHidden/>
          </w:rPr>
          <w:fldChar w:fldCharType="end"/>
        </w:r>
      </w:hyperlink>
    </w:p>
    <w:p w14:paraId="388D7A7F" w14:textId="518E2564" w:rsidR="000444BE" w:rsidRDefault="000444BE">
      <w:pPr>
        <w:pStyle w:val="TOC1"/>
        <w:tabs>
          <w:tab w:val="right" w:leader="dot" w:pos="9774"/>
        </w:tabs>
        <w:rPr>
          <w:rFonts w:asciiTheme="minorHAnsi" w:eastAsiaTheme="minorEastAsia" w:hAnsiTheme="minorHAnsi" w:cstheme="minorBidi"/>
          <w:b w:val="0"/>
          <w:noProof/>
          <w:sz w:val="21"/>
        </w:rPr>
      </w:pPr>
      <w:hyperlink w:anchor="_Toc73300065" w:history="1">
        <w:r w:rsidRPr="00747A83">
          <w:rPr>
            <w:rStyle w:val="af3"/>
            <w:noProof/>
          </w:rPr>
          <w:t>【金融监管】</w:t>
        </w:r>
        <w:r>
          <w:rPr>
            <w:noProof/>
            <w:webHidden/>
          </w:rPr>
          <w:tab/>
        </w:r>
        <w:r>
          <w:rPr>
            <w:noProof/>
            <w:webHidden/>
          </w:rPr>
          <w:fldChar w:fldCharType="begin"/>
        </w:r>
        <w:r>
          <w:rPr>
            <w:noProof/>
            <w:webHidden/>
          </w:rPr>
          <w:instrText xml:space="preserve"> PAGEREF _Toc73300065 \h </w:instrText>
        </w:r>
        <w:r>
          <w:rPr>
            <w:noProof/>
            <w:webHidden/>
          </w:rPr>
        </w:r>
        <w:r>
          <w:rPr>
            <w:noProof/>
            <w:webHidden/>
          </w:rPr>
          <w:fldChar w:fldCharType="separate"/>
        </w:r>
        <w:r w:rsidR="00896AD8">
          <w:rPr>
            <w:noProof/>
            <w:webHidden/>
          </w:rPr>
          <w:t>13</w:t>
        </w:r>
        <w:r>
          <w:rPr>
            <w:noProof/>
            <w:webHidden/>
          </w:rPr>
          <w:fldChar w:fldCharType="end"/>
        </w:r>
      </w:hyperlink>
    </w:p>
    <w:p w14:paraId="26A134E0" w14:textId="29CEFA95"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66" w:history="1">
        <w:r w:rsidRPr="00747A83">
          <w:rPr>
            <w:rStyle w:val="af3"/>
            <w:noProof/>
          </w:rPr>
          <w:t>房地产金融强监管态势延续</w:t>
        </w:r>
        <w:r>
          <w:rPr>
            <w:noProof/>
            <w:webHidden/>
          </w:rPr>
          <w:tab/>
        </w:r>
        <w:r>
          <w:rPr>
            <w:noProof/>
            <w:webHidden/>
          </w:rPr>
          <w:fldChar w:fldCharType="begin"/>
        </w:r>
        <w:r>
          <w:rPr>
            <w:noProof/>
            <w:webHidden/>
          </w:rPr>
          <w:instrText xml:space="preserve"> PAGEREF _Toc73300066 \h </w:instrText>
        </w:r>
        <w:r>
          <w:rPr>
            <w:noProof/>
            <w:webHidden/>
          </w:rPr>
        </w:r>
        <w:r>
          <w:rPr>
            <w:noProof/>
            <w:webHidden/>
          </w:rPr>
          <w:fldChar w:fldCharType="separate"/>
        </w:r>
        <w:r w:rsidR="00896AD8">
          <w:rPr>
            <w:noProof/>
            <w:webHidden/>
          </w:rPr>
          <w:t>13</w:t>
        </w:r>
        <w:r>
          <w:rPr>
            <w:noProof/>
            <w:webHidden/>
          </w:rPr>
          <w:fldChar w:fldCharType="end"/>
        </w:r>
      </w:hyperlink>
    </w:p>
    <w:p w14:paraId="11764DF2" w14:textId="5318742D"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67" w:history="1">
        <w:r w:rsidRPr="00747A83">
          <w:rPr>
            <w:rStyle w:val="af3"/>
            <w:noProof/>
          </w:rPr>
          <w:t>银保监会：未经许可非金融机构和个人不得代理销售理财产品</w:t>
        </w:r>
        <w:r>
          <w:rPr>
            <w:noProof/>
            <w:webHidden/>
          </w:rPr>
          <w:tab/>
        </w:r>
        <w:r>
          <w:rPr>
            <w:noProof/>
            <w:webHidden/>
          </w:rPr>
          <w:fldChar w:fldCharType="begin"/>
        </w:r>
        <w:r>
          <w:rPr>
            <w:noProof/>
            <w:webHidden/>
          </w:rPr>
          <w:instrText xml:space="preserve"> PAGEREF _Toc73300067 \h </w:instrText>
        </w:r>
        <w:r>
          <w:rPr>
            <w:noProof/>
            <w:webHidden/>
          </w:rPr>
        </w:r>
        <w:r>
          <w:rPr>
            <w:noProof/>
            <w:webHidden/>
          </w:rPr>
          <w:fldChar w:fldCharType="separate"/>
        </w:r>
        <w:r w:rsidR="00896AD8">
          <w:rPr>
            <w:noProof/>
            <w:webHidden/>
          </w:rPr>
          <w:t>16</w:t>
        </w:r>
        <w:r>
          <w:rPr>
            <w:noProof/>
            <w:webHidden/>
          </w:rPr>
          <w:fldChar w:fldCharType="end"/>
        </w:r>
      </w:hyperlink>
    </w:p>
    <w:p w14:paraId="0298E4DB" w14:textId="33A197B4"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68" w:history="1">
        <w:r w:rsidRPr="00747A83">
          <w:rPr>
            <w:rStyle w:val="af3"/>
            <w:noProof/>
          </w:rPr>
          <w:t>银保监会就《再保险业务管理规定》公开征求意见</w:t>
        </w:r>
        <w:r>
          <w:rPr>
            <w:noProof/>
            <w:webHidden/>
          </w:rPr>
          <w:tab/>
        </w:r>
        <w:r>
          <w:rPr>
            <w:noProof/>
            <w:webHidden/>
          </w:rPr>
          <w:fldChar w:fldCharType="begin"/>
        </w:r>
        <w:r>
          <w:rPr>
            <w:noProof/>
            <w:webHidden/>
          </w:rPr>
          <w:instrText xml:space="preserve"> PAGEREF _Toc73300068 \h </w:instrText>
        </w:r>
        <w:r>
          <w:rPr>
            <w:noProof/>
            <w:webHidden/>
          </w:rPr>
        </w:r>
        <w:r>
          <w:rPr>
            <w:noProof/>
            <w:webHidden/>
          </w:rPr>
          <w:fldChar w:fldCharType="separate"/>
        </w:r>
        <w:r w:rsidR="00896AD8">
          <w:rPr>
            <w:noProof/>
            <w:webHidden/>
          </w:rPr>
          <w:t>16</w:t>
        </w:r>
        <w:r>
          <w:rPr>
            <w:noProof/>
            <w:webHidden/>
          </w:rPr>
          <w:fldChar w:fldCharType="end"/>
        </w:r>
      </w:hyperlink>
    </w:p>
    <w:p w14:paraId="3E9051EB" w14:textId="5E9EFD1C" w:rsidR="000444BE" w:rsidRDefault="000444BE">
      <w:pPr>
        <w:pStyle w:val="TOC1"/>
        <w:tabs>
          <w:tab w:val="right" w:leader="dot" w:pos="9774"/>
        </w:tabs>
        <w:rPr>
          <w:rFonts w:asciiTheme="minorHAnsi" w:eastAsiaTheme="minorEastAsia" w:hAnsiTheme="minorHAnsi" w:cstheme="minorBidi"/>
          <w:b w:val="0"/>
          <w:noProof/>
          <w:sz w:val="21"/>
        </w:rPr>
      </w:pPr>
      <w:hyperlink w:anchor="_Toc73300069" w:history="1">
        <w:r w:rsidRPr="00747A83">
          <w:rPr>
            <w:rStyle w:val="af3"/>
            <w:noProof/>
          </w:rPr>
          <w:t>【经济解读】</w:t>
        </w:r>
        <w:r>
          <w:rPr>
            <w:noProof/>
            <w:webHidden/>
          </w:rPr>
          <w:tab/>
        </w:r>
        <w:r>
          <w:rPr>
            <w:noProof/>
            <w:webHidden/>
          </w:rPr>
          <w:fldChar w:fldCharType="begin"/>
        </w:r>
        <w:r>
          <w:rPr>
            <w:noProof/>
            <w:webHidden/>
          </w:rPr>
          <w:instrText xml:space="preserve"> PAGEREF _Toc73300069 \h </w:instrText>
        </w:r>
        <w:r>
          <w:rPr>
            <w:noProof/>
            <w:webHidden/>
          </w:rPr>
        </w:r>
        <w:r>
          <w:rPr>
            <w:noProof/>
            <w:webHidden/>
          </w:rPr>
          <w:fldChar w:fldCharType="separate"/>
        </w:r>
        <w:r w:rsidR="00896AD8">
          <w:rPr>
            <w:noProof/>
            <w:webHidden/>
          </w:rPr>
          <w:t>17</w:t>
        </w:r>
        <w:r>
          <w:rPr>
            <w:noProof/>
            <w:webHidden/>
          </w:rPr>
          <w:fldChar w:fldCharType="end"/>
        </w:r>
      </w:hyperlink>
    </w:p>
    <w:p w14:paraId="41A36C3B" w14:textId="66200BB5"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70" w:history="1">
        <w:r w:rsidRPr="00747A83">
          <w:rPr>
            <w:rStyle w:val="af3"/>
            <w:noProof/>
          </w:rPr>
          <w:t>二季度经济内生动能增强</w:t>
        </w:r>
        <w:r w:rsidRPr="00747A83">
          <w:rPr>
            <w:rStyle w:val="af3"/>
            <w:noProof/>
          </w:rPr>
          <w:t xml:space="preserve"> </w:t>
        </w:r>
        <w:r w:rsidRPr="00747A83">
          <w:rPr>
            <w:rStyle w:val="af3"/>
            <w:noProof/>
          </w:rPr>
          <w:t>宏观调控精准施策</w:t>
        </w:r>
        <w:r>
          <w:rPr>
            <w:noProof/>
            <w:webHidden/>
          </w:rPr>
          <w:tab/>
        </w:r>
        <w:r>
          <w:rPr>
            <w:noProof/>
            <w:webHidden/>
          </w:rPr>
          <w:fldChar w:fldCharType="begin"/>
        </w:r>
        <w:r>
          <w:rPr>
            <w:noProof/>
            <w:webHidden/>
          </w:rPr>
          <w:instrText xml:space="preserve"> PAGEREF _Toc73300070 \h </w:instrText>
        </w:r>
        <w:r>
          <w:rPr>
            <w:noProof/>
            <w:webHidden/>
          </w:rPr>
        </w:r>
        <w:r>
          <w:rPr>
            <w:noProof/>
            <w:webHidden/>
          </w:rPr>
          <w:fldChar w:fldCharType="separate"/>
        </w:r>
        <w:r w:rsidR="00896AD8">
          <w:rPr>
            <w:noProof/>
            <w:webHidden/>
          </w:rPr>
          <w:t>17</w:t>
        </w:r>
        <w:r>
          <w:rPr>
            <w:noProof/>
            <w:webHidden/>
          </w:rPr>
          <w:fldChar w:fldCharType="end"/>
        </w:r>
      </w:hyperlink>
    </w:p>
    <w:p w14:paraId="357BE555" w14:textId="793EF354"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71" w:history="1">
        <w:r w:rsidRPr="00747A83">
          <w:rPr>
            <w:rStyle w:val="af3"/>
            <w:noProof/>
          </w:rPr>
          <w:t>前</w:t>
        </w:r>
        <w:r w:rsidRPr="00747A83">
          <w:rPr>
            <w:rStyle w:val="af3"/>
            <w:noProof/>
          </w:rPr>
          <w:t>4</w:t>
        </w:r>
        <w:r w:rsidRPr="00747A83">
          <w:rPr>
            <w:rStyle w:val="af3"/>
            <w:noProof/>
          </w:rPr>
          <w:t>个月中国累计新办涉税市场主体达</w:t>
        </w:r>
        <w:r w:rsidRPr="00747A83">
          <w:rPr>
            <w:rStyle w:val="af3"/>
            <w:noProof/>
          </w:rPr>
          <w:t>413</w:t>
        </w:r>
        <w:r w:rsidRPr="00747A83">
          <w:rPr>
            <w:rStyle w:val="af3"/>
            <w:noProof/>
          </w:rPr>
          <w:t>万户</w:t>
        </w:r>
        <w:r>
          <w:rPr>
            <w:noProof/>
            <w:webHidden/>
          </w:rPr>
          <w:tab/>
        </w:r>
        <w:r>
          <w:rPr>
            <w:noProof/>
            <w:webHidden/>
          </w:rPr>
          <w:fldChar w:fldCharType="begin"/>
        </w:r>
        <w:r>
          <w:rPr>
            <w:noProof/>
            <w:webHidden/>
          </w:rPr>
          <w:instrText xml:space="preserve"> PAGEREF _Toc73300071 \h </w:instrText>
        </w:r>
        <w:r>
          <w:rPr>
            <w:noProof/>
            <w:webHidden/>
          </w:rPr>
        </w:r>
        <w:r>
          <w:rPr>
            <w:noProof/>
            <w:webHidden/>
          </w:rPr>
          <w:fldChar w:fldCharType="separate"/>
        </w:r>
        <w:r w:rsidR="00896AD8">
          <w:rPr>
            <w:noProof/>
            <w:webHidden/>
          </w:rPr>
          <w:t>19</w:t>
        </w:r>
        <w:r>
          <w:rPr>
            <w:noProof/>
            <w:webHidden/>
          </w:rPr>
          <w:fldChar w:fldCharType="end"/>
        </w:r>
      </w:hyperlink>
    </w:p>
    <w:p w14:paraId="6D19B5CF" w14:textId="37BCB6E7" w:rsidR="000444BE" w:rsidRDefault="000444BE">
      <w:pPr>
        <w:pStyle w:val="TOC1"/>
        <w:tabs>
          <w:tab w:val="right" w:leader="dot" w:pos="9774"/>
        </w:tabs>
        <w:rPr>
          <w:rFonts w:asciiTheme="minorHAnsi" w:eastAsiaTheme="minorEastAsia" w:hAnsiTheme="minorHAnsi" w:cstheme="minorBidi"/>
          <w:b w:val="0"/>
          <w:noProof/>
          <w:sz w:val="21"/>
        </w:rPr>
      </w:pPr>
      <w:hyperlink w:anchor="_Toc73300072" w:history="1">
        <w:r w:rsidRPr="00747A83">
          <w:rPr>
            <w:rStyle w:val="af3"/>
            <w:noProof/>
          </w:rPr>
          <w:t>【金融市场】</w:t>
        </w:r>
        <w:r>
          <w:rPr>
            <w:noProof/>
            <w:webHidden/>
          </w:rPr>
          <w:tab/>
        </w:r>
        <w:r>
          <w:rPr>
            <w:noProof/>
            <w:webHidden/>
          </w:rPr>
          <w:fldChar w:fldCharType="begin"/>
        </w:r>
        <w:r>
          <w:rPr>
            <w:noProof/>
            <w:webHidden/>
          </w:rPr>
          <w:instrText xml:space="preserve"> PAGEREF _Toc73300072 \h </w:instrText>
        </w:r>
        <w:r>
          <w:rPr>
            <w:noProof/>
            <w:webHidden/>
          </w:rPr>
        </w:r>
        <w:r>
          <w:rPr>
            <w:noProof/>
            <w:webHidden/>
          </w:rPr>
          <w:fldChar w:fldCharType="separate"/>
        </w:r>
        <w:r w:rsidR="00896AD8">
          <w:rPr>
            <w:noProof/>
            <w:webHidden/>
          </w:rPr>
          <w:t>19</w:t>
        </w:r>
        <w:r>
          <w:rPr>
            <w:noProof/>
            <w:webHidden/>
          </w:rPr>
          <w:fldChar w:fldCharType="end"/>
        </w:r>
      </w:hyperlink>
    </w:p>
    <w:p w14:paraId="0E60AE6E" w14:textId="66110B5B"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73" w:history="1">
        <w:r w:rsidRPr="00747A83">
          <w:rPr>
            <w:rStyle w:val="af3"/>
            <w:noProof/>
          </w:rPr>
          <w:t>财政部：前</w:t>
        </w:r>
        <w:r w:rsidRPr="00747A83">
          <w:rPr>
            <w:rStyle w:val="af3"/>
            <w:noProof/>
          </w:rPr>
          <w:t>4</w:t>
        </w:r>
        <w:r w:rsidRPr="00747A83">
          <w:rPr>
            <w:rStyle w:val="af3"/>
            <w:noProof/>
          </w:rPr>
          <w:t>月我国发行地方债</w:t>
        </w:r>
        <w:r w:rsidRPr="00747A83">
          <w:rPr>
            <w:rStyle w:val="af3"/>
            <w:noProof/>
          </w:rPr>
          <w:t>1.67</w:t>
        </w:r>
        <w:r w:rsidRPr="00747A83">
          <w:rPr>
            <w:rStyle w:val="af3"/>
            <w:noProof/>
          </w:rPr>
          <w:t>万亿元</w:t>
        </w:r>
        <w:r>
          <w:rPr>
            <w:noProof/>
            <w:webHidden/>
          </w:rPr>
          <w:tab/>
        </w:r>
        <w:r>
          <w:rPr>
            <w:noProof/>
            <w:webHidden/>
          </w:rPr>
          <w:fldChar w:fldCharType="begin"/>
        </w:r>
        <w:r>
          <w:rPr>
            <w:noProof/>
            <w:webHidden/>
          </w:rPr>
          <w:instrText xml:space="preserve"> PAGEREF _Toc73300073 \h </w:instrText>
        </w:r>
        <w:r>
          <w:rPr>
            <w:noProof/>
            <w:webHidden/>
          </w:rPr>
        </w:r>
        <w:r>
          <w:rPr>
            <w:noProof/>
            <w:webHidden/>
          </w:rPr>
          <w:fldChar w:fldCharType="separate"/>
        </w:r>
        <w:r w:rsidR="00896AD8">
          <w:rPr>
            <w:noProof/>
            <w:webHidden/>
          </w:rPr>
          <w:t>19</w:t>
        </w:r>
        <w:r>
          <w:rPr>
            <w:noProof/>
            <w:webHidden/>
          </w:rPr>
          <w:fldChar w:fldCharType="end"/>
        </w:r>
      </w:hyperlink>
    </w:p>
    <w:p w14:paraId="2E10588D" w14:textId="508BAEA8"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74" w:history="1">
        <w:r w:rsidRPr="00747A83">
          <w:rPr>
            <w:rStyle w:val="af3"/>
            <w:noProof/>
          </w:rPr>
          <w:t>4</w:t>
        </w:r>
        <w:r w:rsidRPr="00747A83">
          <w:rPr>
            <w:rStyle w:val="af3"/>
            <w:noProof/>
          </w:rPr>
          <w:t>月末我国普惠小微贷款同比增长超</w:t>
        </w:r>
        <w:r w:rsidRPr="00747A83">
          <w:rPr>
            <w:rStyle w:val="af3"/>
            <w:noProof/>
          </w:rPr>
          <w:t>3</w:t>
        </w:r>
        <w:r w:rsidRPr="00747A83">
          <w:rPr>
            <w:rStyle w:val="af3"/>
            <w:noProof/>
          </w:rPr>
          <w:t>成</w:t>
        </w:r>
        <w:r>
          <w:rPr>
            <w:noProof/>
            <w:webHidden/>
          </w:rPr>
          <w:tab/>
        </w:r>
        <w:r>
          <w:rPr>
            <w:noProof/>
            <w:webHidden/>
          </w:rPr>
          <w:fldChar w:fldCharType="begin"/>
        </w:r>
        <w:r>
          <w:rPr>
            <w:noProof/>
            <w:webHidden/>
          </w:rPr>
          <w:instrText xml:space="preserve"> PAGEREF _Toc73300074 \h </w:instrText>
        </w:r>
        <w:r>
          <w:rPr>
            <w:noProof/>
            <w:webHidden/>
          </w:rPr>
        </w:r>
        <w:r>
          <w:rPr>
            <w:noProof/>
            <w:webHidden/>
          </w:rPr>
          <w:fldChar w:fldCharType="separate"/>
        </w:r>
        <w:r w:rsidR="00896AD8">
          <w:rPr>
            <w:noProof/>
            <w:webHidden/>
          </w:rPr>
          <w:t>20</w:t>
        </w:r>
        <w:r>
          <w:rPr>
            <w:noProof/>
            <w:webHidden/>
          </w:rPr>
          <w:fldChar w:fldCharType="end"/>
        </w:r>
      </w:hyperlink>
    </w:p>
    <w:p w14:paraId="4421E19A" w14:textId="4C3D8619" w:rsidR="000444BE" w:rsidRDefault="000444BE">
      <w:pPr>
        <w:pStyle w:val="TOC1"/>
        <w:tabs>
          <w:tab w:val="right" w:leader="dot" w:pos="9774"/>
        </w:tabs>
        <w:rPr>
          <w:rFonts w:asciiTheme="minorHAnsi" w:eastAsiaTheme="minorEastAsia" w:hAnsiTheme="minorHAnsi" w:cstheme="minorBidi"/>
          <w:b w:val="0"/>
          <w:noProof/>
          <w:sz w:val="21"/>
        </w:rPr>
      </w:pPr>
      <w:hyperlink w:anchor="_Toc73300075" w:history="1">
        <w:r w:rsidRPr="00747A83">
          <w:rPr>
            <w:rStyle w:val="af3"/>
            <w:noProof/>
          </w:rPr>
          <w:t>【专家评论】</w:t>
        </w:r>
        <w:r>
          <w:rPr>
            <w:noProof/>
            <w:webHidden/>
          </w:rPr>
          <w:tab/>
        </w:r>
        <w:r>
          <w:rPr>
            <w:noProof/>
            <w:webHidden/>
          </w:rPr>
          <w:fldChar w:fldCharType="begin"/>
        </w:r>
        <w:r>
          <w:rPr>
            <w:noProof/>
            <w:webHidden/>
          </w:rPr>
          <w:instrText xml:space="preserve"> PAGEREF _Toc73300075 \h </w:instrText>
        </w:r>
        <w:r>
          <w:rPr>
            <w:noProof/>
            <w:webHidden/>
          </w:rPr>
        </w:r>
        <w:r>
          <w:rPr>
            <w:noProof/>
            <w:webHidden/>
          </w:rPr>
          <w:fldChar w:fldCharType="separate"/>
        </w:r>
        <w:r w:rsidR="00896AD8">
          <w:rPr>
            <w:noProof/>
            <w:webHidden/>
          </w:rPr>
          <w:t>20</w:t>
        </w:r>
        <w:r>
          <w:rPr>
            <w:noProof/>
            <w:webHidden/>
          </w:rPr>
          <w:fldChar w:fldCharType="end"/>
        </w:r>
      </w:hyperlink>
    </w:p>
    <w:p w14:paraId="62D8BC9E" w14:textId="2817E803"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76" w:history="1">
        <w:r w:rsidRPr="00747A83">
          <w:rPr>
            <w:rStyle w:val="af3"/>
            <w:noProof/>
          </w:rPr>
          <w:t>“</w:t>
        </w:r>
        <w:r w:rsidRPr="00747A83">
          <w:rPr>
            <w:rStyle w:val="af3"/>
            <w:noProof/>
          </w:rPr>
          <w:t>中国力量</w:t>
        </w:r>
        <w:r w:rsidRPr="00747A83">
          <w:rPr>
            <w:rStyle w:val="af3"/>
            <w:noProof/>
          </w:rPr>
          <w:t>”</w:t>
        </w:r>
        <w:r w:rsidRPr="00747A83">
          <w:rPr>
            <w:rStyle w:val="af3"/>
            <w:noProof/>
          </w:rPr>
          <w:t>将为全球经济发展作出重大贡献</w:t>
        </w:r>
        <w:r>
          <w:rPr>
            <w:noProof/>
            <w:webHidden/>
          </w:rPr>
          <w:tab/>
        </w:r>
        <w:r>
          <w:rPr>
            <w:noProof/>
            <w:webHidden/>
          </w:rPr>
          <w:fldChar w:fldCharType="begin"/>
        </w:r>
        <w:r>
          <w:rPr>
            <w:noProof/>
            <w:webHidden/>
          </w:rPr>
          <w:instrText xml:space="preserve"> PAGEREF _Toc73300076 \h </w:instrText>
        </w:r>
        <w:r>
          <w:rPr>
            <w:noProof/>
            <w:webHidden/>
          </w:rPr>
        </w:r>
        <w:r>
          <w:rPr>
            <w:noProof/>
            <w:webHidden/>
          </w:rPr>
          <w:fldChar w:fldCharType="separate"/>
        </w:r>
        <w:r w:rsidR="00896AD8">
          <w:rPr>
            <w:noProof/>
            <w:webHidden/>
          </w:rPr>
          <w:t>20</w:t>
        </w:r>
        <w:r>
          <w:rPr>
            <w:noProof/>
            <w:webHidden/>
          </w:rPr>
          <w:fldChar w:fldCharType="end"/>
        </w:r>
      </w:hyperlink>
    </w:p>
    <w:p w14:paraId="2FC8D3EA" w14:textId="202F4D96" w:rsidR="000444BE" w:rsidRDefault="000444BE">
      <w:pPr>
        <w:pStyle w:val="TOC1"/>
        <w:tabs>
          <w:tab w:val="right" w:leader="dot" w:pos="9774"/>
        </w:tabs>
        <w:rPr>
          <w:rFonts w:asciiTheme="minorHAnsi" w:eastAsiaTheme="minorEastAsia" w:hAnsiTheme="minorHAnsi" w:cstheme="minorBidi"/>
          <w:b w:val="0"/>
          <w:noProof/>
          <w:sz w:val="21"/>
        </w:rPr>
      </w:pPr>
      <w:hyperlink w:anchor="_Toc73300077" w:history="1">
        <w:r w:rsidRPr="00747A83">
          <w:rPr>
            <w:rStyle w:val="af3"/>
            <w:noProof/>
          </w:rPr>
          <w:t>【机构评论】</w:t>
        </w:r>
        <w:r>
          <w:rPr>
            <w:noProof/>
            <w:webHidden/>
          </w:rPr>
          <w:tab/>
        </w:r>
        <w:r>
          <w:rPr>
            <w:noProof/>
            <w:webHidden/>
          </w:rPr>
          <w:fldChar w:fldCharType="begin"/>
        </w:r>
        <w:r>
          <w:rPr>
            <w:noProof/>
            <w:webHidden/>
          </w:rPr>
          <w:instrText xml:space="preserve"> PAGEREF _Toc73300077 \h </w:instrText>
        </w:r>
        <w:r>
          <w:rPr>
            <w:noProof/>
            <w:webHidden/>
          </w:rPr>
        </w:r>
        <w:r>
          <w:rPr>
            <w:noProof/>
            <w:webHidden/>
          </w:rPr>
          <w:fldChar w:fldCharType="separate"/>
        </w:r>
        <w:r w:rsidR="00896AD8">
          <w:rPr>
            <w:noProof/>
            <w:webHidden/>
          </w:rPr>
          <w:t>22</w:t>
        </w:r>
        <w:r>
          <w:rPr>
            <w:noProof/>
            <w:webHidden/>
          </w:rPr>
          <w:fldChar w:fldCharType="end"/>
        </w:r>
      </w:hyperlink>
    </w:p>
    <w:p w14:paraId="46767BAB" w14:textId="548F7F29"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78" w:history="1">
        <w:r w:rsidRPr="00747A83">
          <w:rPr>
            <w:rStyle w:val="af3"/>
            <w:noProof/>
          </w:rPr>
          <w:t>证监会：证券业要在做专做优做精做强上更加努力</w:t>
        </w:r>
        <w:r>
          <w:rPr>
            <w:noProof/>
            <w:webHidden/>
          </w:rPr>
          <w:tab/>
        </w:r>
        <w:r>
          <w:rPr>
            <w:noProof/>
            <w:webHidden/>
          </w:rPr>
          <w:fldChar w:fldCharType="begin"/>
        </w:r>
        <w:r>
          <w:rPr>
            <w:noProof/>
            <w:webHidden/>
          </w:rPr>
          <w:instrText xml:space="preserve"> PAGEREF _Toc73300078 \h </w:instrText>
        </w:r>
        <w:r>
          <w:rPr>
            <w:noProof/>
            <w:webHidden/>
          </w:rPr>
        </w:r>
        <w:r>
          <w:rPr>
            <w:noProof/>
            <w:webHidden/>
          </w:rPr>
          <w:fldChar w:fldCharType="separate"/>
        </w:r>
        <w:r w:rsidR="00896AD8">
          <w:rPr>
            <w:noProof/>
            <w:webHidden/>
          </w:rPr>
          <w:t>22</w:t>
        </w:r>
        <w:r>
          <w:rPr>
            <w:noProof/>
            <w:webHidden/>
          </w:rPr>
          <w:fldChar w:fldCharType="end"/>
        </w:r>
      </w:hyperlink>
    </w:p>
    <w:p w14:paraId="4A7329C9" w14:textId="5A396F12" w:rsidR="000444BE" w:rsidRDefault="000444BE">
      <w:pPr>
        <w:pStyle w:val="TOC1"/>
        <w:tabs>
          <w:tab w:val="right" w:leader="dot" w:pos="9774"/>
        </w:tabs>
        <w:rPr>
          <w:rFonts w:asciiTheme="minorHAnsi" w:eastAsiaTheme="minorEastAsia" w:hAnsiTheme="minorHAnsi" w:cstheme="minorBidi"/>
          <w:b w:val="0"/>
          <w:noProof/>
          <w:sz w:val="21"/>
        </w:rPr>
      </w:pPr>
      <w:hyperlink w:anchor="_Toc73300079" w:history="1">
        <w:r w:rsidRPr="00747A83">
          <w:rPr>
            <w:rStyle w:val="af3"/>
            <w:noProof/>
          </w:rPr>
          <w:t>【产业聚焦】</w:t>
        </w:r>
        <w:r>
          <w:rPr>
            <w:noProof/>
            <w:webHidden/>
          </w:rPr>
          <w:tab/>
        </w:r>
        <w:r>
          <w:rPr>
            <w:noProof/>
            <w:webHidden/>
          </w:rPr>
          <w:fldChar w:fldCharType="begin"/>
        </w:r>
        <w:r>
          <w:rPr>
            <w:noProof/>
            <w:webHidden/>
          </w:rPr>
          <w:instrText xml:space="preserve"> PAGEREF _Toc73300079 \h </w:instrText>
        </w:r>
        <w:r>
          <w:rPr>
            <w:noProof/>
            <w:webHidden/>
          </w:rPr>
        </w:r>
        <w:r>
          <w:rPr>
            <w:noProof/>
            <w:webHidden/>
          </w:rPr>
          <w:fldChar w:fldCharType="separate"/>
        </w:r>
        <w:r w:rsidR="00896AD8">
          <w:rPr>
            <w:noProof/>
            <w:webHidden/>
          </w:rPr>
          <w:t>25</w:t>
        </w:r>
        <w:r>
          <w:rPr>
            <w:noProof/>
            <w:webHidden/>
          </w:rPr>
          <w:fldChar w:fldCharType="end"/>
        </w:r>
      </w:hyperlink>
    </w:p>
    <w:p w14:paraId="3F16D59E" w14:textId="4E2F96ED"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80" w:history="1">
        <w:r w:rsidRPr="00747A83">
          <w:rPr>
            <w:rStyle w:val="af3"/>
            <w:noProof/>
          </w:rPr>
          <w:t>中钢协：全国</w:t>
        </w:r>
        <w:r w:rsidRPr="00747A83">
          <w:rPr>
            <w:rStyle w:val="af3"/>
            <w:noProof/>
          </w:rPr>
          <w:t>6.2</w:t>
        </w:r>
        <w:r w:rsidRPr="00747A83">
          <w:rPr>
            <w:rStyle w:val="af3"/>
            <w:noProof/>
          </w:rPr>
          <w:t>亿吨粗钢产能将实现超低排放</w:t>
        </w:r>
        <w:r>
          <w:rPr>
            <w:noProof/>
            <w:webHidden/>
          </w:rPr>
          <w:tab/>
        </w:r>
        <w:r>
          <w:rPr>
            <w:noProof/>
            <w:webHidden/>
          </w:rPr>
          <w:fldChar w:fldCharType="begin"/>
        </w:r>
        <w:r>
          <w:rPr>
            <w:noProof/>
            <w:webHidden/>
          </w:rPr>
          <w:instrText xml:space="preserve"> PAGEREF _Toc73300080 \h </w:instrText>
        </w:r>
        <w:r>
          <w:rPr>
            <w:noProof/>
            <w:webHidden/>
          </w:rPr>
        </w:r>
        <w:r>
          <w:rPr>
            <w:noProof/>
            <w:webHidden/>
          </w:rPr>
          <w:fldChar w:fldCharType="separate"/>
        </w:r>
        <w:r w:rsidR="00896AD8">
          <w:rPr>
            <w:noProof/>
            <w:webHidden/>
          </w:rPr>
          <w:t>25</w:t>
        </w:r>
        <w:r>
          <w:rPr>
            <w:noProof/>
            <w:webHidden/>
          </w:rPr>
          <w:fldChar w:fldCharType="end"/>
        </w:r>
      </w:hyperlink>
    </w:p>
    <w:p w14:paraId="6A0DE0D1" w14:textId="19BF4B72"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81" w:history="1">
        <w:r w:rsidRPr="00747A83">
          <w:rPr>
            <w:rStyle w:val="af3"/>
            <w:noProof/>
          </w:rPr>
          <w:t>国际航协：</w:t>
        </w:r>
        <w:r w:rsidRPr="00747A83">
          <w:rPr>
            <w:rStyle w:val="af3"/>
            <w:noProof/>
          </w:rPr>
          <w:t>2023</w:t>
        </w:r>
        <w:r w:rsidRPr="00747A83">
          <w:rPr>
            <w:rStyle w:val="af3"/>
            <w:noProof/>
          </w:rPr>
          <w:t>年全球航空客运量有望超过疫情前水平</w:t>
        </w:r>
        <w:r>
          <w:rPr>
            <w:noProof/>
            <w:webHidden/>
          </w:rPr>
          <w:tab/>
        </w:r>
        <w:r>
          <w:rPr>
            <w:noProof/>
            <w:webHidden/>
          </w:rPr>
          <w:fldChar w:fldCharType="begin"/>
        </w:r>
        <w:r>
          <w:rPr>
            <w:noProof/>
            <w:webHidden/>
          </w:rPr>
          <w:instrText xml:space="preserve"> PAGEREF _Toc73300081 \h </w:instrText>
        </w:r>
        <w:r>
          <w:rPr>
            <w:noProof/>
            <w:webHidden/>
          </w:rPr>
        </w:r>
        <w:r>
          <w:rPr>
            <w:noProof/>
            <w:webHidden/>
          </w:rPr>
          <w:fldChar w:fldCharType="separate"/>
        </w:r>
        <w:r w:rsidR="00896AD8">
          <w:rPr>
            <w:noProof/>
            <w:webHidden/>
          </w:rPr>
          <w:t>26</w:t>
        </w:r>
        <w:r>
          <w:rPr>
            <w:noProof/>
            <w:webHidden/>
          </w:rPr>
          <w:fldChar w:fldCharType="end"/>
        </w:r>
      </w:hyperlink>
    </w:p>
    <w:p w14:paraId="3176AAA3" w14:textId="4B241AC1" w:rsidR="000444BE" w:rsidRDefault="000444BE">
      <w:pPr>
        <w:pStyle w:val="TOC1"/>
        <w:tabs>
          <w:tab w:val="right" w:leader="dot" w:pos="9774"/>
        </w:tabs>
        <w:rPr>
          <w:rFonts w:asciiTheme="minorHAnsi" w:eastAsiaTheme="minorEastAsia" w:hAnsiTheme="minorHAnsi" w:cstheme="minorBidi"/>
          <w:b w:val="0"/>
          <w:noProof/>
          <w:sz w:val="21"/>
        </w:rPr>
      </w:pPr>
      <w:hyperlink w:anchor="_Toc73300082" w:history="1">
        <w:r w:rsidRPr="00747A83">
          <w:rPr>
            <w:rStyle w:val="af3"/>
            <w:noProof/>
          </w:rPr>
          <w:t>【国际财经】</w:t>
        </w:r>
        <w:r>
          <w:rPr>
            <w:noProof/>
            <w:webHidden/>
          </w:rPr>
          <w:tab/>
        </w:r>
        <w:r>
          <w:rPr>
            <w:noProof/>
            <w:webHidden/>
          </w:rPr>
          <w:fldChar w:fldCharType="begin"/>
        </w:r>
        <w:r>
          <w:rPr>
            <w:noProof/>
            <w:webHidden/>
          </w:rPr>
          <w:instrText xml:space="preserve"> PAGEREF _Toc73300082 \h </w:instrText>
        </w:r>
        <w:r>
          <w:rPr>
            <w:noProof/>
            <w:webHidden/>
          </w:rPr>
        </w:r>
        <w:r>
          <w:rPr>
            <w:noProof/>
            <w:webHidden/>
          </w:rPr>
          <w:fldChar w:fldCharType="separate"/>
        </w:r>
        <w:r w:rsidR="00896AD8">
          <w:rPr>
            <w:noProof/>
            <w:webHidden/>
          </w:rPr>
          <w:t>26</w:t>
        </w:r>
        <w:r>
          <w:rPr>
            <w:noProof/>
            <w:webHidden/>
          </w:rPr>
          <w:fldChar w:fldCharType="end"/>
        </w:r>
      </w:hyperlink>
    </w:p>
    <w:p w14:paraId="307CFA98" w14:textId="381DE936"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83" w:history="1">
        <w:r w:rsidRPr="00747A83">
          <w:rPr>
            <w:rStyle w:val="af3"/>
            <w:noProof/>
          </w:rPr>
          <w:t>美国第一季度经济增长率修正值持平在</w:t>
        </w:r>
        <w:r w:rsidRPr="00747A83">
          <w:rPr>
            <w:rStyle w:val="af3"/>
            <w:noProof/>
          </w:rPr>
          <w:t>6.4%</w:t>
        </w:r>
        <w:r>
          <w:rPr>
            <w:noProof/>
            <w:webHidden/>
          </w:rPr>
          <w:tab/>
        </w:r>
        <w:r>
          <w:rPr>
            <w:noProof/>
            <w:webHidden/>
          </w:rPr>
          <w:fldChar w:fldCharType="begin"/>
        </w:r>
        <w:r>
          <w:rPr>
            <w:noProof/>
            <w:webHidden/>
          </w:rPr>
          <w:instrText xml:space="preserve"> PAGEREF _Toc73300083 \h </w:instrText>
        </w:r>
        <w:r>
          <w:rPr>
            <w:noProof/>
            <w:webHidden/>
          </w:rPr>
        </w:r>
        <w:r>
          <w:rPr>
            <w:noProof/>
            <w:webHidden/>
          </w:rPr>
          <w:fldChar w:fldCharType="separate"/>
        </w:r>
        <w:r w:rsidR="00896AD8">
          <w:rPr>
            <w:noProof/>
            <w:webHidden/>
          </w:rPr>
          <w:t>26</w:t>
        </w:r>
        <w:r>
          <w:rPr>
            <w:noProof/>
            <w:webHidden/>
          </w:rPr>
          <w:fldChar w:fldCharType="end"/>
        </w:r>
      </w:hyperlink>
    </w:p>
    <w:p w14:paraId="45A668B8" w14:textId="084320B7"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84" w:history="1">
        <w:r w:rsidRPr="00747A83">
          <w:rPr>
            <w:rStyle w:val="af3"/>
            <w:noProof/>
          </w:rPr>
          <w:t>拜登政府公布美国</w:t>
        </w:r>
        <w:r w:rsidRPr="00747A83">
          <w:rPr>
            <w:rStyle w:val="af3"/>
            <w:noProof/>
          </w:rPr>
          <w:t>2022</w:t>
        </w:r>
        <w:r w:rsidRPr="00747A83">
          <w:rPr>
            <w:rStyle w:val="af3"/>
            <w:noProof/>
          </w:rPr>
          <w:t>财年全面预算方案</w:t>
        </w:r>
        <w:r>
          <w:rPr>
            <w:noProof/>
            <w:webHidden/>
          </w:rPr>
          <w:tab/>
        </w:r>
        <w:r>
          <w:rPr>
            <w:noProof/>
            <w:webHidden/>
          </w:rPr>
          <w:fldChar w:fldCharType="begin"/>
        </w:r>
        <w:r>
          <w:rPr>
            <w:noProof/>
            <w:webHidden/>
          </w:rPr>
          <w:instrText xml:space="preserve"> PAGEREF _Toc73300084 \h </w:instrText>
        </w:r>
        <w:r>
          <w:rPr>
            <w:noProof/>
            <w:webHidden/>
          </w:rPr>
        </w:r>
        <w:r>
          <w:rPr>
            <w:noProof/>
            <w:webHidden/>
          </w:rPr>
          <w:fldChar w:fldCharType="separate"/>
        </w:r>
        <w:r w:rsidR="00896AD8">
          <w:rPr>
            <w:noProof/>
            <w:webHidden/>
          </w:rPr>
          <w:t>27</w:t>
        </w:r>
        <w:r>
          <w:rPr>
            <w:noProof/>
            <w:webHidden/>
          </w:rPr>
          <w:fldChar w:fldCharType="end"/>
        </w:r>
      </w:hyperlink>
    </w:p>
    <w:p w14:paraId="1C0C29F8" w14:textId="5925E680"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85" w:history="1">
        <w:r w:rsidRPr="00747A83">
          <w:rPr>
            <w:rStyle w:val="af3"/>
            <w:noProof/>
          </w:rPr>
          <w:t>世贸组织：全球货物贸易正持续恢复</w:t>
        </w:r>
        <w:r>
          <w:rPr>
            <w:noProof/>
            <w:webHidden/>
          </w:rPr>
          <w:tab/>
        </w:r>
        <w:r>
          <w:rPr>
            <w:noProof/>
            <w:webHidden/>
          </w:rPr>
          <w:fldChar w:fldCharType="begin"/>
        </w:r>
        <w:r>
          <w:rPr>
            <w:noProof/>
            <w:webHidden/>
          </w:rPr>
          <w:instrText xml:space="preserve"> PAGEREF _Toc73300085 \h </w:instrText>
        </w:r>
        <w:r>
          <w:rPr>
            <w:noProof/>
            <w:webHidden/>
          </w:rPr>
        </w:r>
        <w:r>
          <w:rPr>
            <w:noProof/>
            <w:webHidden/>
          </w:rPr>
          <w:fldChar w:fldCharType="separate"/>
        </w:r>
        <w:r w:rsidR="00896AD8">
          <w:rPr>
            <w:noProof/>
            <w:webHidden/>
          </w:rPr>
          <w:t>27</w:t>
        </w:r>
        <w:r>
          <w:rPr>
            <w:noProof/>
            <w:webHidden/>
          </w:rPr>
          <w:fldChar w:fldCharType="end"/>
        </w:r>
      </w:hyperlink>
    </w:p>
    <w:p w14:paraId="19B2E1BE" w14:textId="4E75EB7F"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86" w:history="1">
        <w:r w:rsidRPr="00747A83">
          <w:rPr>
            <w:rStyle w:val="af3"/>
            <w:noProof/>
          </w:rPr>
          <w:t>多国央行按兵不动　财政刺激力度未减</w:t>
        </w:r>
        <w:r>
          <w:rPr>
            <w:noProof/>
            <w:webHidden/>
          </w:rPr>
          <w:tab/>
        </w:r>
        <w:r>
          <w:rPr>
            <w:noProof/>
            <w:webHidden/>
          </w:rPr>
          <w:fldChar w:fldCharType="begin"/>
        </w:r>
        <w:r>
          <w:rPr>
            <w:noProof/>
            <w:webHidden/>
          </w:rPr>
          <w:instrText xml:space="preserve"> PAGEREF _Toc73300086 \h </w:instrText>
        </w:r>
        <w:r>
          <w:rPr>
            <w:noProof/>
            <w:webHidden/>
          </w:rPr>
        </w:r>
        <w:r>
          <w:rPr>
            <w:noProof/>
            <w:webHidden/>
          </w:rPr>
          <w:fldChar w:fldCharType="separate"/>
        </w:r>
        <w:r w:rsidR="00896AD8">
          <w:rPr>
            <w:noProof/>
            <w:webHidden/>
          </w:rPr>
          <w:t>28</w:t>
        </w:r>
        <w:r>
          <w:rPr>
            <w:noProof/>
            <w:webHidden/>
          </w:rPr>
          <w:fldChar w:fldCharType="end"/>
        </w:r>
      </w:hyperlink>
    </w:p>
    <w:p w14:paraId="7E8AF6E8" w14:textId="2F080B14" w:rsidR="000444BE" w:rsidRDefault="000444BE">
      <w:pPr>
        <w:pStyle w:val="TOC2"/>
        <w:tabs>
          <w:tab w:val="right" w:leader="dot" w:pos="9774"/>
        </w:tabs>
        <w:ind w:left="210"/>
        <w:rPr>
          <w:rFonts w:asciiTheme="minorHAnsi" w:eastAsiaTheme="minorEastAsia" w:hAnsiTheme="minorHAnsi" w:cstheme="minorBidi"/>
          <w:b w:val="0"/>
          <w:noProof/>
          <w:sz w:val="21"/>
        </w:rPr>
      </w:pPr>
      <w:hyperlink w:anchor="_Toc73300087" w:history="1">
        <w:r w:rsidRPr="00747A83">
          <w:rPr>
            <w:rStyle w:val="af3"/>
            <w:noProof/>
          </w:rPr>
          <w:t>英国呼吁七国集团确保全球经济绿色复苏</w:t>
        </w:r>
        <w:r>
          <w:rPr>
            <w:noProof/>
            <w:webHidden/>
          </w:rPr>
          <w:tab/>
        </w:r>
        <w:r>
          <w:rPr>
            <w:noProof/>
            <w:webHidden/>
          </w:rPr>
          <w:fldChar w:fldCharType="begin"/>
        </w:r>
        <w:r>
          <w:rPr>
            <w:noProof/>
            <w:webHidden/>
          </w:rPr>
          <w:instrText xml:space="preserve"> PAGEREF _Toc73300087 \h </w:instrText>
        </w:r>
        <w:r>
          <w:rPr>
            <w:noProof/>
            <w:webHidden/>
          </w:rPr>
        </w:r>
        <w:r>
          <w:rPr>
            <w:noProof/>
            <w:webHidden/>
          </w:rPr>
          <w:fldChar w:fldCharType="separate"/>
        </w:r>
        <w:r w:rsidR="00896AD8">
          <w:rPr>
            <w:noProof/>
            <w:webHidden/>
          </w:rPr>
          <w:t>30</w:t>
        </w:r>
        <w:r>
          <w:rPr>
            <w:noProof/>
            <w:webHidden/>
          </w:rPr>
          <w:fldChar w:fldCharType="end"/>
        </w:r>
      </w:hyperlink>
    </w:p>
    <w:p w14:paraId="342F2E06" w14:textId="5D418C6D" w:rsidR="000444BE" w:rsidRDefault="000444BE">
      <w:pPr>
        <w:pStyle w:val="TOC1"/>
        <w:tabs>
          <w:tab w:val="right" w:leader="dot" w:pos="9774"/>
        </w:tabs>
        <w:rPr>
          <w:rFonts w:asciiTheme="minorHAnsi" w:eastAsiaTheme="minorEastAsia" w:hAnsiTheme="minorHAnsi" w:cstheme="minorBidi"/>
          <w:b w:val="0"/>
          <w:noProof/>
          <w:sz w:val="21"/>
        </w:rPr>
      </w:pPr>
      <w:hyperlink w:anchor="_Toc73300088" w:history="1">
        <w:r w:rsidRPr="00747A83">
          <w:rPr>
            <w:rStyle w:val="af3"/>
            <w:noProof/>
          </w:rPr>
          <w:t>【中国经济简讯】</w:t>
        </w:r>
        <w:r>
          <w:rPr>
            <w:noProof/>
            <w:webHidden/>
          </w:rPr>
          <w:tab/>
        </w:r>
        <w:r>
          <w:rPr>
            <w:noProof/>
            <w:webHidden/>
          </w:rPr>
          <w:fldChar w:fldCharType="begin"/>
        </w:r>
        <w:r>
          <w:rPr>
            <w:noProof/>
            <w:webHidden/>
          </w:rPr>
          <w:instrText xml:space="preserve"> PAGEREF _Toc73300088 \h </w:instrText>
        </w:r>
        <w:r>
          <w:rPr>
            <w:noProof/>
            <w:webHidden/>
          </w:rPr>
        </w:r>
        <w:r>
          <w:rPr>
            <w:noProof/>
            <w:webHidden/>
          </w:rPr>
          <w:fldChar w:fldCharType="separate"/>
        </w:r>
        <w:r w:rsidR="00896AD8">
          <w:rPr>
            <w:noProof/>
            <w:webHidden/>
          </w:rPr>
          <w:t>31</w:t>
        </w:r>
        <w:r>
          <w:rPr>
            <w:noProof/>
            <w:webHidden/>
          </w:rPr>
          <w:fldChar w:fldCharType="end"/>
        </w:r>
      </w:hyperlink>
    </w:p>
    <w:p w14:paraId="11056CE1" w14:textId="5D367A52" w:rsidR="000444BE" w:rsidRDefault="000444BE">
      <w:pPr>
        <w:pStyle w:val="TOC1"/>
        <w:tabs>
          <w:tab w:val="right" w:leader="dot" w:pos="9774"/>
        </w:tabs>
        <w:rPr>
          <w:rFonts w:asciiTheme="minorHAnsi" w:eastAsiaTheme="minorEastAsia" w:hAnsiTheme="minorHAnsi" w:cstheme="minorBidi"/>
          <w:b w:val="0"/>
          <w:noProof/>
          <w:sz w:val="21"/>
        </w:rPr>
      </w:pPr>
      <w:hyperlink w:anchor="_Toc73300089" w:history="1">
        <w:r w:rsidRPr="00747A83">
          <w:rPr>
            <w:rStyle w:val="af3"/>
            <w:noProof/>
          </w:rPr>
          <w:t>【国际经济简讯】</w:t>
        </w:r>
        <w:r>
          <w:rPr>
            <w:noProof/>
            <w:webHidden/>
          </w:rPr>
          <w:tab/>
        </w:r>
        <w:r>
          <w:rPr>
            <w:noProof/>
            <w:webHidden/>
          </w:rPr>
          <w:fldChar w:fldCharType="begin"/>
        </w:r>
        <w:r>
          <w:rPr>
            <w:noProof/>
            <w:webHidden/>
          </w:rPr>
          <w:instrText xml:space="preserve"> PAGEREF _Toc73300089 \h </w:instrText>
        </w:r>
        <w:r>
          <w:rPr>
            <w:noProof/>
            <w:webHidden/>
          </w:rPr>
        </w:r>
        <w:r>
          <w:rPr>
            <w:noProof/>
            <w:webHidden/>
          </w:rPr>
          <w:fldChar w:fldCharType="separate"/>
        </w:r>
        <w:r w:rsidR="00896AD8">
          <w:rPr>
            <w:noProof/>
            <w:webHidden/>
          </w:rPr>
          <w:t>32</w:t>
        </w:r>
        <w:r>
          <w:rPr>
            <w:noProof/>
            <w:webHidden/>
          </w:rPr>
          <w:fldChar w:fldCharType="end"/>
        </w:r>
      </w:hyperlink>
    </w:p>
    <w:p w14:paraId="182EBF45" w14:textId="1D812574" w:rsidR="000444BE" w:rsidRDefault="000444BE">
      <w:pPr>
        <w:pStyle w:val="TOC1"/>
        <w:tabs>
          <w:tab w:val="right" w:leader="dot" w:pos="9774"/>
        </w:tabs>
        <w:rPr>
          <w:rFonts w:asciiTheme="minorHAnsi" w:eastAsiaTheme="minorEastAsia" w:hAnsiTheme="minorHAnsi" w:cstheme="minorBidi"/>
          <w:b w:val="0"/>
          <w:noProof/>
          <w:sz w:val="21"/>
        </w:rPr>
      </w:pPr>
      <w:hyperlink w:anchor="_Toc73300090" w:history="1">
        <w:r w:rsidRPr="00747A83">
          <w:rPr>
            <w:rStyle w:val="af3"/>
            <w:noProof/>
          </w:rPr>
          <w:t>【本周关注】</w:t>
        </w:r>
        <w:r>
          <w:rPr>
            <w:noProof/>
            <w:webHidden/>
          </w:rPr>
          <w:tab/>
        </w:r>
        <w:r>
          <w:rPr>
            <w:noProof/>
            <w:webHidden/>
          </w:rPr>
          <w:fldChar w:fldCharType="begin"/>
        </w:r>
        <w:r>
          <w:rPr>
            <w:noProof/>
            <w:webHidden/>
          </w:rPr>
          <w:instrText xml:space="preserve"> PAGEREF _Toc73300090 \h </w:instrText>
        </w:r>
        <w:r>
          <w:rPr>
            <w:noProof/>
            <w:webHidden/>
          </w:rPr>
        </w:r>
        <w:r>
          <w:rPr>
            <w:noProof/>
            <w:webHidden/>
          </w:rPr>
          <w:fldChar w:fldCharType="separate"/>
        </w:r>
        <w:r w:rsidR="00896AD8">
          <w:rPr>
            <w:noProof/>
            <w:webHidden/>
          </w:rPr>
          <w:t>33</w:t>
        </w:r>
        <w:r>
          <w:rPr>
            <w:noProof/>
            <w:webHidden/>
          </w:rPr>
          <w:fldChar w:fldCharType="end"/>
        </w:r>
      </w:hyperlink>
    </w:p>
    <w:p w14:paraId="19BBD42A" w14:textId="77777777" w:rsidR="00425B93" w:rsidRDefault="006D46F5" w:rsidP="003F1877">
      <w:pPr>
        <w:spacing w:beforeLines="50" w:before="156" w:afterLines="50" w:after="156"/>
        <w:jc w:val="center"/>
        <w:rPr>
          <w:rFonts w:eastAsia="宋体"/>
        </w:rPr>
      </w:pPr>
      <w:r>
        <w:rPr>
          <w:rFonts w:eastAsia="宋体"/>
        </w:rPr>
        <w:fldChar w:fldCharType="end"/>
      </w:r>
    </w:p>
    <w:p w14:paraId="19BBD42B" w14:textId="77777777" w:rsidR="00425B93" w:rsidRDefault="00425B93" w:rsidP="003F1877">
      <w:pPr>
        <w:spacing w:beforeLines="50" w:before="156" w:afterLines="50" w:after="156"/>
        <w:rPr>
          <w:rFonts w:eastAsia="宋体"/>
        </w:rPr>
      </w:pPr>
    </w:p>
    <w:p w14:paraId="19BBD42C" w14:textId="77777777" w:rsidR="00425B93" w:rsidRDefault="00425B93" w:rsidP="003F1877">
      <w:pPr>
        <w:spacing w:beforeLines="50" w:before="156" w:afterLines="50" w:after="156"/>
        <w:rPr>
          <w:rFonts w:eastAsia="宋体"/>
        </w:rPr>
      </w:pPr>
    </w:p>
    <w:p w14:paraId="19BBD42D" w14:textId="77777777" w:rsidR="00425B93" w:rsidRDefault="00425B93" w:rsidP="003F1877">
      <w:pPr>
        <w:spacing w:beforeLines="50" w:before="156" w:afterLines="50" w:after="156"/>
        <w:rPr>
          <w:rFonts w:eastAsia="宋体"/>
        </w:rPr>
      </w:pPr>
    </w:p>
    <w:p w14:paraId="19BBD42E" w14:textId="77777777" w:rsidR="00425B93" w:rsidRDefault="008659C3">
      <w:pPr>
        <w:pStyle w:val="1"/>
        <w:spacing w:before="156" w:after="156"/>
      </w:pPr>
      <w:bookmarkStart w:id="1" w:name="_Toc156"/>
      <w:bookmarkStart w:id="2" w:name="_Toc18669451"/>
      <w:r>
        <w:br w:type="page"/>
      </w:r>
      <w:bookmarkStart w:id="3" w:name="_Toc73300052"/>
      <w:r>
        <w:rPr>
          <w:rFonts w:hint="eastAsia"/>
        </w:rPr>
        <w:lastRenderedPageBreak/>
        <w:t>【一周焦点】</w:t>
      </w:r>
      <w:bookmarkEnd w:id="1"/>
      <w:bookmarkEnd w:id="3"/>
    </w:p>
    <w:p w14:paraId="19BBD42F" w14:textId="399A112F" w:rsidR="00576F3A" w:rsidRDefault="006A4BF7" w:rsidP="00576F3A">
      <w:pPr>
        <w:pStyle w:val="2"/>
        <w:spacing w:before="156" w:after="156"/>
      </w:pPr>
      <w:bookmarkStart w:id="4" w:name="_Toc73300053"/>
      <w:bookmarkEnd w:id="2"/>
      <w:r w:rsidRPr="006A4BF7">
        <w:rPr>
          <w:rFonts w:hint="eastAsia"/>
        </w:rPr>
        <w:t>国常会：进一步支持小微企业个体工商户纾困发展</w:t>
      </w:r>
      <w:bookmarkEnd w:id="4"/>
    </w:p>
    <w:p w14:paraId="3A171937" w14:textId="23F23C60" w:rsidR="006A4BF7" w:rsidRDefault="006A4BF7" w:rsidP="006A4BF7">
      <w:pPr>
        <w:pStyle w:val="a5"/>
        <w:spacing w:before="156" w:after="156"/>
        <w:ind w:firstLine="480"/>
        <w:rPr>
          <w:lang w:eastAsia="zh-CN"/>
        </w:rPr>
      </w:pPr>
      <w:r>
        <w:rPr>
          <w:lang w:eastAsia="zh-CN"/>
        </w:rPr>
        <w:t>5月26日召开</w:t>
      </w:r>
      <w:r>
        <w:rPr>
          <w:rFonts w:hint="eastAsia"/>
          <w:lang w:eastAsia="zh-CN"/>
        </w:rPr>
        <w:t>的</w:t>
      </w:r>
      <w:r>
        <w:rPr>
          <w:lang w:eastAsia="zh-CN"/>
        </w:rPr>
        <w:t>国务院常务会议，部署进一步支持小微企业、个体工商户纾困和发展，确定加强农村义务教育薄弱环节的措施。</w:t>
      </w:r>
    </w:p>
    <w:p w14:paraId="651F0E38" w14:textId="77777777" w:rsidR="006A4BF7" w:rsidRDefault="006A4BF7" w:rsidP="006A4BF7">
      <w:pPr>
        <w:pStyle w:val="a5"/>
        <w:spacing w:before="156" w:after="156"/>
        <w:ind w:firstLine="480"/>
        <w:rPr>
          <w:lang w:eastAsia="zh-CN"/>
        </w:rPr>
      </w:pPr>
      <w:r>
        <w:rPr>
          <w:rFonts w:hint="eastAsia"/>
          <w:lang w:eastAsia="zh-CN"/>
        </w:rPr>
        <w:t>会议指出，量大面广的小微企业和个体工商户是我国经济韧性、就业韧性的重要支撑。按照党中央、国务院部署，近些年通过持续推进“放管服”改革，特别是去年实施一系列普惠性纾困政策，有力促进了小微企业和个体工商户发展。截至</w:t>
      </w:r>
      <w:r>
        <w:rPr>
          <w:lang w:eastAsia="zh-CN"/>
        </w:rPr>
        <w:t>4月末，全国小微企业总数超过4400万户、个体工商户超过9500万户，成为我国就业主力军。当前国内外环境复杂严峻，小微企业、个体工商户生产经营仍面临困难，要继续有针对性加强支持。一是进一步落实“六稳”“六保”政策，保持必要支持力度。落实落细减税降费措施。加大支持小微企业、个体工商户等的普惠金融力度，引</w:t>
      </w:r>
      <w:r>
        <w:rPr>
          <w:rFonts w:hint="eastAsia"/>
          <w:lang w:eastAsia="zh-CN"/>
        </w:rPr>
        <w:t>导扩大信用贷款、首贷、中长期贷款、无还本续贷业务规模，推广随借随还贷款。研究将商业汇票承兑期限由</w:t>
      </w:r>
      <w:r>
        <w:rPr>
          <w:lang w:eastAsia="zh-CN"/>
        </w:rPr>
        <w:t>1年缩短至6个月，减轻企业占款压力。二是多措并举帮助小微企业、个体工商户应对上游原材料涨价影响。支持大型企业搭建重点行业产业链供需对接平台，用市场化办法引导供应链上下游稳定原材料供应和产销配套协作，做好保供稳价。打击囤积居奇、哄抬价格等行为。支持各地按规定对小微企业、个体工商户给予稳岗就业补贴。督促引导平台降低过高收费、抽成及新商户佣金和推介费比例。三是加强公正监管。严格落实公平竞争审查制度，对各类市场主体一视同</w:t>
      </w:r>
      <w:r>
        <w:rPr>
          <w:rFonts w:hint="eastAsia"/>
          <w:lang w:eastAsia="zh-CN"/>
        </w:rPr>
        <w:t>仁，清理废除歧视、妨碍各类市场主体参与市场经济活动的政策和法规。深入推进反垄断、反不正当竞争执法，依法查处具有优势地位的企业为抢占市场份额恶意补贴、低价倾销等行为。整治各种乱收费乱罚款。同时，做好基本保障兜底，推动个体工商户及灵活就业人员参加社保，放开在就业地参保的户籍限制，探索将灵活就业人员纳入工伤保险范围。</w:t>
      </w:r>
    </w:p>
    <w:p w14:paraId="609FDF40" w14:textId="77777777" w:rsidR="006A4BF7" w:rsidRDefault="006A4BF7" w:rsidP="006A4BF7">
      <w:pPr>
        <w:pStyle w:val="a5"/>
        <w:spacing w:before="156" w:after="156"/>
        <w:ind w:firstLine="480"/>
        <w:rPr>
          <w:lang w:eastAsia="zh-CN"/>
        </w:rPr>
      </w:pPr>
      <w:r>
        <w:rPr>
          <w:rFonts w:hint="eastAsia"/>
          <w:lang w:eastAsia="zh-CN"/>
        </w:rPr>
        <w:t>中国国际经济交流中心经济研究部副部长刘向东对《经济参考报》记者表示，今年以来，经济形势大为改善，但恢复的基础并不牢靠，特别是量大面广的小微企业和个体工商户仍面临诸多不确定性风险的影响，内外环境新变化引发的需求波动，时刻考验着小微企业和个体工商户的抗风险能力。</w:t>
      </w:r>
    </w:p>
    <w:p w14:paraId="0E1D9CE9" w14:textId="77777777" w:rsidR="006A4BF7" w:rsidRDefault="006A4BF7" w:rsidP="006A4BF7">
      <w:pPr>
        <w:pStyle w:val="a5"/>
        <w:spacing w:before="156" w:after="156"/>
        <w:ind w:firstLine="480"/>
        <w:rPr>
          <w:lang w:eastAsia="zh-CN"/>
        </w:rPr>
      </w:pPr>
      <w:r>
        <w:rPr>
          <w:rFonts w:hint="eastAsia"/>
          <w:lang w:eastAsia="zh-CN"/>
        </w:rPr>
        <w:t>他举例说，小微企业和个体工商户融资难融资贵的老问题尚未得到有效解决，又面临上游原材料等产品价格上涨的成本压力，参与灵活就业的人员面临社保不连续和不能有效保障的情况。这就需要各级政府实施有针对性的政策措施，帮助小微企业和个体工商户解决内外环境新变化的影响。只有保住小微企业和个体工商户的营生，才能切实起到稳就业惠民生的目标，做到固本培元。</w:t>
      </w:r>
    </w:p>
    <w:p w14:paraId="3C0859F3" w14:textId="60CD697C" w:rsidR="006A4BF7" w:rsidRPr="006A4BF7" w:rsidRDefault="006A4BF7" w:rsidP="006A4BF7">
      <w:pPr>
        <w:pStyle w:val="a5"/>
        <w:spacing w:before="156" w:after="156"/>
        <w:ind w:firstLine="480"/>
        <w:rPr>
          <w:lang w:eastAsia="zh-CN"/>
        </w:rPr>
      </w:pPr>
      <w:r>
        <w:rPr>
          <w:rFonts w:hint="eastAsia"/>
          <w:lang w:eastAsia="zh-CN"/>
        </w:rPr>
        <w:lastRenderedPageBreak/>
        <w:t>“为此，既要落实落细减税降费措施，保持必要的财税金融支持力度，同时还要帮助小微企业和个体工商户缓解上游原材料涨价风险。另外，还要营造良好的市场环境，避免大型企业或大型平台对小微企业和个体工商户进行不正当竞争挤压。”刘向东说。</w:t>
      </w:r>
    </w:p>
    <w:p w14:paraId="19BBD434" w14:textId="77777777" w:rsidR="00425B93" w:rsidRDefault="008659C3">
      <w:pPr>
        <w:pStyle w:val="1"/>
        <w:spacing w:before="156" w:after="156"/>
      </w:pPr>
      <w:bookmarkStart w:id="5" w:name="_Toc73300054"/>
      <w:r>
        <w:rPr>
          <w:rFonts w:hint="eastAsia"/>
        </w:rPr>
        <w:t>【经验交流】</w:t>
      </w:r>
      <w:bookmarkEnd w:id="5"/>
    </w:p>
    <w:p w14:paraId="5DE82F8A" w14:textId="555AE7A7" w:rsidR="00F15737" w:rsidRDefault="004569DD" w:rsidP="00F15737">
      <w:pPr>
        <w:pStyle w:val="2"/>
        <w:spacing w:before="156" w:after="156"/>
      </w:pPr>
      <w:bookmarkStart w:id="6" w:name="_Toc73300055"/>
      <w:r w:rsidRPr="004569DD">
        <w:rPr>
          <w:rFonts w:hint="eastAsia"/>
        </w:rPr>
        <w:t>如何打造深港跨境金融创新“高速公路”——专访中国人民银行深圳市中心支行党委书记、行长邢毓静</w:t>
      </w:r>
      <w:bookmarkEnd w:id="6"/>
    </w:p>
    <w:p w14:paraId="44AAB916" w14:textId="77777777" w:rsidR="00F83A38" w:rsidRDefault="00F83A38" w:rsidP="00F83A38">
      <w:pPr>
        <w:pStyle w:val="a5"/>
        <w:spacing w:before="156" w:after="156"/>
        <w:ind w:firstLine="480"/>
        <w:rPr>
          <w:lang w:eastAsia="zh-CN"/>
        </w:rPr>
      </w:pPr>
      <w:r>
        <w:rPr>
          <w:rFonts w:hint="eastAsia"/>
          <w:lang w:eastAsia="zh-CN"/>
        </w:rPr>
        <w:t>粤港澳大湾区建设已全面驶入快车道，三地的金融融合和创新不断涌现。金融创新伴生的风险带有复杂性、交叉性及隐藏性等特点，在大湾区范围内探索能够高度适应区域特征的跨境监管机制具有紧迫性和必要性。</w:t>
      </w:r>
    </w:p>
    <w:p w14:paraId="4F1D4696" w14:textId="77777777" w:rsidR="00F83A38" w:rsidRDefault="00F83A38" w:rsidP="00F83A38">
      <w:pPr>
        <w:pStyle w:val="a5"/>
        <w:spacing w:before="156" w:after="156"/>
        <w:ind w:firstLine="480"/>
        <w:rPr>
          <w:lang w:eastAsia="zh-CN"/>
        </w:rPr>
      </w:pPr>
      <w:r>
        <w:rPr>
          <w:rFonts w:hint="eastAsia"/>
          <w:lang w:eastAsia="zh-CN"/>
        </w:rPr>
        <w:t>跨境金融监管沙盒是一种能够有效平衡风险防控与金融创新的制度创新，可以从金融监管角度为我国新时期扩大金融对外开放和深化改革开展前沿探索。</w:t>
      </w:r>
    </w:p>
    <w:p w14:paraId="2D2A64DC" w14:textId="77777777" w:rsidR="00F83A38" w:rsidRDefault="00F83A38" w:rsidP="00F83A38">
      <w:pPr>
        <w:pStyle w:val="a5"/>
        <w:spacing w:before="156" w:after="156"/>
        <w:ind w:firstLine="480"/>
        <w:rPr>
          <w:lang w:eastAsia="zh-CN"/>
        </w:rPr>
      </w:pPr>
      <w:r>
        <w:rPr>
          <w:rFonts w:hint="eastAsia"/>
          <w:lang w:eastAsia="zh-CN"/>
        </w:rPr>
        <w:t>近日，围绕如何推进粤港澳大湾区跨境监管沙盒试点工作，《瞭望》新闻周刊记者专访了中国人民银行深圳市中心支行党委书记、行长，国家外汇管理局深圳市分局局长邢毓静。</w:t>
      </w:r>
    </w:p>
    <w:p w14:paraId="2225E73A" w14:textId="77777777" w:rsidR="00F83A38" w:rsidRPr="00F83A38" w:rsidRDefault="00F83A38" w:rsidP="00F83A38">
      <w:pPr>
        <w:pStyle w:val="a5"/>
        <w:spacing w:before="156" w:after="156"/>
        <w:ind w:firstLine="482"/>
        <w:rPr>
          <w:b/>
          <w:bCs/>
          <w:lang w:eastAsia="zh-CN"/>
        </w:rPr>
      </w:pPr>
      <w:r w:rsidRPr="00F83A38">
        <w:rPr>
          <w:rFonts w:hint="eastAsia"/>
          <w:b/>
          <w:bCs/>
          <w:lang w:eastAsia="zh-CN"/>
        </w:rPr>
        <w:t>加快大湾区跨境监管沙盒制度试点推进步伐</w:t>
      </w:r>
    </w:p>
    <w:p w14:paraId="44C16BE0" w14:textId="77777777" w:rsidR="00F83A38" w:rsidRDefault="00F83A38" w:rsidP="00F83A38">
      <w:pPr>
        <w:pStyle w:val="a5"/>
        <w:spacing w:before="156" w:after="156"/>
        <w:ind w:firstLine="480"/>
        <w:rPr>
          <w:lang w:eastAsia="zh-CN"/>
        </w:rPr>
      </w:pPr>
      <w:r>
        <w:rPr>
          <w:rFonts w:hint="eastAsia"/>
          <w:lang w:eastAsia="zh-CN"/>
        </w:rPr>
        <w:t>《瞭望》：如何理解“沙盒监管”？“沙盒监管”能发挥什么样的作用？</w:t>
      </w:r>
    </w:p>
    <w:p w14:paraId="79BBC827" w14:textId="77777777" w:rsidR="00F83A38" w:rsidRDefault="00F83A38" w:rsidP="00F83A38">
      <w:pPr>
        <w:pStyle w:val="a5"/>
        <w:spacing w:before="156" w:after="156"/>
        <w:ind w:firstLine="480"/>
        <w:rPr>
          <w:lang w:eastAsia="zh-CN"/>
        </w:rPr>
      </w:pPr>
      <w:r>
        <w:rPr>
          <w:rFonts w:hint="eastAsia"/>
          <w:lang w:eastAsia="zh-CN"/>
        </w:rPr>
        <w:t>邢毓静：“监管沙盒”是一个受监督的安全测试区，也是监管机构主导的服务于金融创新的机制。在该机制下，市场创新主体发起针对某一金融创新的沙盒测试项目申请，监管机构进行评估，决定是否核准其在有限时间内开展小范围的真实客户（或用户）群体的测试，在测试过程中进行持续监控，并对沙盒项目通过测试后是否能正式推向市场提供意见。</w:t>
      </w:r>
    </w:p>
    <w:p w14:paraId="2A442378" w14:textId="77777777" w:rsidR="00F83A38" w:rsidRDefault="00F83A38" w:rsidP="00F83A38">
      <w:pPr>
        <w:pStyle w:val="a5"/>
        <w:spacing w:before="156" w:after="156"/>
        <w:ind w:firstLine="480"/>
        <w:rPr>
          <w:lang w:eastAsia="zh-CN"/>
        </w:rPr>
      </w:pPr>
      <w:r>
        <w:rPr>
          <w:rFonts w:hint="eastAsia"/>
          <w:lang w:eastAsia="zh-CN"/>
        </w:rPr>
        <w:t>从</w:t>
      </w:r>
      <w:r>
        <w:rPr>
          <w:lang w:eastAsia="zh-CN"/>
        </w:rPr>
        <w:t>2016年5月英国金融行为监管局（FCA）在全球首次推出监管沙盒以来，包括新加坡、香港、美国在内的多个国家或地区的监管当局陆续推出了监管沙盒，探索适合自身的沙盒试验机制。2019年末，“中国版”监管沙盒试点——金融科技创新监管试点推出。截至2020年2月末，已经有9个城市共计83个创新项目纳入了金融科技创新监管试点。</w:t>
      </w:r>
    </w:p>
    <w:p w14:paraId="220BFE18" w14:textId="77777777" w:rsidR="00F83A38" w:rsidRDefault="00F83A38" w:rsidP="00F83A38">
      <w:pPr>
        <w:pStyle w:val="a5"/>
        <w:spacing w:before="156" w:after="156"/>
        <w:ind w:firstLine="480"/>
        <w:rPr>
          <w:lang w:eastAsia="zh-CN"/>
        </w:rPr>
      </w:pPr>
      <w:r>
        <w:rPr>
          <w:rFonts w:hint="eastAsia"/>
          <w:lang w:eastAsia="zh-CN"/>
        </w:rPr>
        <w:t>沙盒监管有利于监管机构与市场创新主体开展良性互动，减少创新项目推向市场的时间，有利于市场主体动态改进创新、监管机构动态完善规则，有利于监管机构在小范围内持续监控和防范风险，已逐渐成为业界公认的金融科技监管最为成功的方式。</w:t>
      </w:r>
    </w:p>
    <w:p w14:paraId="773A8BAA" w14:textId="77777777" w:rsidR="00F83A38" w:rsidRDefault="00F83A38" w:rsidP="00F83A38">
      <w:pPr>
        <w:pStyle w:val="a5"/>
        <w:spacing w:before="156" w:after="156"/>
        <w:ind w:firstLine="480"/>
        <w:rPr>
          <w:lang w:eastAsia="zh-CN"/>
        </w:rPr>
      </w:pPr>
      <w:r>
        <w:rPr>
          <w:rFonts w:hint="eastAsia"/>
          <w:lang w:eastAsia="zh-CN"/>
        </w:rPr>
        <w:t>探索推进粤港澳大湾区跨境监管沙盒建设能更好服务于区域金融改革开放、科技金融、绿色金融等重大金融发展战略。</w:t>
      </w:r>
    </w:p>
    <w:p w14:paraId="36A3FF1D" w14:textId="77777777" w:rsidR="00F83A38" w:rsidRPr="00F83A38" w:rsidRDefault="00F83A38" w:rsidP="00F83A38">
      <w:pPr>
        <w:pStyle w:val="a5"/>
        <w:spacing w:before="156" w:after="156"/>
        <w:ind w:firstLine="482"/>
        <w:rPr>
          <w:b/>
          <w:bCs/>
          <w:lang w:eastAsia="zh-CN"/>
        </w:rPr>
      </w:pPr>
      <w:r w:rsidRPr="00F83A38">
        <w:rPr>
          <w:rFonts w:hint="eastAsia"/>
          <w:b/>
          <w:bCs/>
          <w:lang w:eastAsia="zh-CN"/>
        </w:rPr>
        <w:lastRenderedPageBreak/>
        <w:t>以深港跨境监管沙盒试点为突破</w:t>
      </w:r>
    </w:p>
    <w:p w14:paraId="3A1726AD" w14:textId="77777777" w:rsidR="00F83A38" w:rsidRDefault="00F83A38" w:rsidP="00F83A38">
      <w:pPr>
        <w:pStyle w:val="a5"/>
        <w:spacing w:before="156" w:after="156"/>
        <w:ind w:firstLine="480"/>
        <w:rPr>
          <w:lang w:eastAsia="zh-CN"/>
        </w:rPr>
      </w:pPr>
      <w:r>
        <w:rPr>
          <w:rFonts w:hint="eastAsia"/>
          <w:lang w:eastAsia="zh-CN"/>
        </w:rPr>
        <w:t>《瞭望》：在粤港澳大湾区试点跨境监管沙盒制度存在哪些难点？</w:t>
      </w:r>
    </w:p>
    <w:p w14:paraId="44C26DCB" w14:textId="77777777" w:rsidR="00F83A38" w:rsidRDefault="00F83A38" w:rsidP="00F83A38">
      <w:pPr>
        <w:pStyle w:val="a5"/>
        <w:spacing w:before="156" w:after="156"/>
        <w:ind w:firstLine="480"/>
        <w:rPr>
          <w:lang w:eastAsia="zh-CN"/>
        </w:rPr>
      </w:pPr>
      <w:r>
        <w:rPr>
          <w:rFonts w:hint="eastAsia"/>
          <w:lang w:eastAsia="zh-CN"/>
        </w:rPr>
        <w:t>邢毓静：在“一国两制”下，粤港澳社会制度不同，法律制度不同，分属于不同关税区域，三种货币采用不同的汇率制度和资本流动管理制度，很多方面在国际国内无先例可循。</w:t>
      </w:r>
    </w:p>
    <w:p w14:paraId="40AA0D1F" w14:textId="77777777" w:rsidR="00F83A38" w:rsidRDefault="00F83A38" w:rsidP="00F83A38">
      <w:pPr>
        <w:pStyle w:val="a5"/>
        <w:spacing w:before="156" w:after="156"/>
        <w:ind w:firstLine="480"/>
        <w:rPr>
          <w:lang w:eastAsia="zh-CN"/>
        </w:rPr>
      </w:pPr>
      <w:r>
        <w:rPr>
          <w:rFonts w:hint="eastAsia"/>
          <w:lang w:eastAsia="zh-CN"/>
        </w:rPr>
        <w:t>在粤港澳大湾区试点跨境监管沙盒制度，最重要的是要有运转顺畅的监管沟通和合作机制。三地监管部门对金融科技创新的监管理念、监管规则和监管方式存在差异，需要通过顺畅、日常化的交流机制来实现互相理解、包容合作。不同监管部门在金融科技监管沙盒的探索深入程度也有不同，需要通过监管沟通促进认识上的提升。在测试环节，更需要有效的监管协调，来确保试点项目顺利开展、持续完善、有效防控风险。</w:t>
      </w:r>
    </w:p>
    <w:p w14:paraId="0C3DDC50" w14:textId="77777777" w:rsidR="00F83A38" w:rsidRDefault="00F83A38" w:rsidP="00F83A38">
      <w:pPr>
        <w:pStyle w:val="a5"/>
        <w:spacing w:before="156" w:after="156"/>
        <w:ind w:firstLine="480"/>
        <w:rPr>
          <w:lang w:eastAsia="zh-CN"/>
        </w:rPr>
      </w:pPr>
      <w:r>
        <w:rPr>
          <w:rFonts w:hint="eastAsia"/>
          <w:lang w:eastAsia="zh-CN"/>
        </w:rPr>
        <w:t>《瞭望》：破解这一难点可考虑怎样的步骤？</w:t>
      </w:r>
    </w:p>
    <w:p w14:paraId="08E6AF6E" w14:textId="77777777" w:rsidR="00F83A38" w:rsidRDefault="00F83A38" w:rsidP="00F83A38">
      <w:pPr>
        <w:pStyle w:val="a5"/>
        <w:spacing w:before="156" w:after="156"/>
        <w:ind w:firstLine="480"/>
        <w:rPr>
          <w:lang w:eastAsia="zh-CN"/>
        </w:rPr>
      </w:pPr>
      <w:r>
        <w:rPr>
          <w:rFonts w:hint="eastAsia"/>
          <w:lang w:eastAsia="zh-CN"/>
        </w:rPr>
        <w:t>邢毓静：选取跨境交流密切、金融需求旺盛、监管共识明确的城市率先开展跨境监管沙盒试点，能够减少跨境监管协调合作的复杂性，有利于具体项目的测试落地，有利于探索出成效。综合考虑，深圳与香港率先开展跨境监管沙盒试点，条件较为成熟。</w:t>
      </w:r>
    </w:p>
    <w:p w14:paraId="26FE549F" w14:textId="77777777" w:rsidR="00F83A38" w:rsidRDefault="00F83A38" w:rsidP="00F83A38">
      <w:pPr>
        <w:pStyle w:val="a5"/>
        <w:spacing w:before="156" w:after="156"/>
        <w:ind w:firstLine="480"/>
        <w:rPr>
          <w:lang w:eastAsia="zh-CN"/>
        </w:rPr>
      </w:pPr>
      <w:r>
        <w:rPr>
          <w:rFonts w:hint="eastAsia"/>
          <w:lang w:eastAsia="zh-CN"/>
        </w:rPr>
        <w:t>一是深港一衣带水、紧密联系。深圳毗邻香港，从上世纪</w:t>
      </w:r>
      <w:r>
        <w:rPr>
          <w:lang w:eastAsia="zh-CN"/>
        </w:rPr>
        <w:t>70年代末承接香港劳动密集型产业以来，在人员跨境交流、经贸往来、金融合作方面一直与香港保持紧密联系。2020年，深港跨境收支规模超过5000亿美元，占深圳跨境收支规模的65%。开展跨境监管沙盒试点，发展跨境金融，联通在岸和离岸金融，有独特区位优势。</w:t>
      </w:r>
    </w:p>
    <w:p w14:paraId="7243E761" w14:textId="77777777" w:rsidR="00F83A38" w:rsidRDefault="00F83A38" w:rsidP="00F83A38">
      <w:pPr>
        <w:pStyle w:val="a5"/>
        <w:spacing w:before="156" w:after="156"/>
        <w:ind w:firstLine="480"/>
        <w:rPr>
          <w:lang w:eastAsia="zh-CN"/>
        </w:rPr>
      </w:pPr>
      <w:r>
        <w:rPr>
          <w:rFonts w:hint="eastAsia"/>
          <w:lang w:eastAsia="zh-CN"/>
        </w:rPr>
        <w:t>二是深港监管部门对于沙盒监管有共识、有基础。深港多个金融监管部门在多次交流中表现出开展跨境沙盒监管的意愿和共识。香港金管局、香港证监会、香港保险业监管局均推出了各自的监管沙盒试点，香港金管局也是全球金融创新网络（</w:t>
      </w:r>
      <w:r>
        <w:rPr>
          <w:lang w:eastAsia="zh-CN"/>
        </w:rPr>
        <w:t>GFIN）的主要成员之一。深圳在监管沙盒研究和试点方面也走在全国前列，两地开展跨境沙盒监管有共识、有基础。</w:t>
      </w:r>
    </w:p>
    <w:p w14:paraId="3B41B0F4" w14:textId="77777777" w:rsidR="00F83A38" w:rsidRDefault="00F83A38" w:rsidP="00F83A38">
      <w:pPr>
        <w:pStyle w:val="a5"/>
        <w:spacing w:before="156" w:after="156"/>
        <w:ind w:firstLine="480"/>
        <w:rPr>
          <w:lang w:eastAsia="zh-CN"/>
        </w:rPr>
      </w:pPr>
      <w:r>
        <w:rPr>
          <w:rFonts w:hint="eastAsia"/>
          <w:lang w:eastAsia="zh-CN"/>
        </w:rPr>
        <w:t>三是深圳民营主导的经济结构，有利于试点顺利推行。第一，民营经济对于更加开放创新的金融环境，诉求最强烈，试点更容易推行；第二，民营经济活力强，更能从跨境监管沙盒试点和跨境金融创新中获益，试点效果更好；第三，民营经济更加多元分散，试错的成本较低；第四，深圳具有制度优势，一方面是经济特区立法权、综合授权改革试点带来的金融法制优势，另一方面本地投资者有较强的契约精神。</w:t>
      </w:r>
    </w:p>
    <w:p w14:paraId="28DBC0A4" w14:textId="77777777" w:rsidR="00F83A38" w:rsidRDefault="00F83A38" w:rsidP="00F83A38">
      <w:pPr>
        <w:pStyle w:val="a5"/>
        <w:spacing w:before="156" w:after="156"/>
        <w:ind w:firstLine="480"/>
        <w:rPr>
          <w:lang w:eastAsia="zh-CN"/>
        </w:rPr>
      </w:pPr>
      <w:r>
        <w:rPr>
          <w:rFonts w:hint="eastAsia"/>
          <w:lang w:eastAsia="zh-CN"/>
        </w:rPr>
        <w:t>四是深圳经济体量适中，既有利于总结试点成效和复制推广经验，又有利于防控风险。从规模上看，</w:t>
      </w:r>
      <w:r>
        <w:rPr>
          <w:lang w:eastAsia="zh-CN"/>
        </w:rPr>
        <w:t>2020年，深圳跨境资本流动规模在全国占比为7%，对全国的影响可控。</w:t>
      </w:r>
    </w:p>
    <w:p w14:paraId="12FD03C9" w14:textId="77777777" w:rsidR="00F83A38" w:rsidRPr="00F83A38" w:rsidRDefault="00F83A38" w:rsidP="00F83A38">
      <w:pPr>
        <w:pStyle w:val="a5"/>
        <w:spacing w:before="156" w:after="156"/>
        <w:ind w:firstLine="482"/>
        <w:rPr>
          <w:b/>
          <w:bCs/>
          <w:lang w:eastAsia="zh-CN"/>
        </w:rPr>
      </w:pPr>
      <w:r w:rsidRPr="00F83A38">
        <w:rPr>
          <w:rFonts w:hint="eastAsia"/>
          <w:b/>
          <w:bCs/>
          <w:lang w:eastAsia="zh-CN"/>
        </w:rPr>
        <w:lastRenderedPageBreak/>
        <w:t>打造深港跨境金融创新“高速公路”</w:t>
      </w:r>
    </w:p>
    <w:p w14:paraId="460BDB0F" w14:textId="77777777" w:rsidR="00F83A38" w:rsidRDefault="00F83A38" w:rsidP="00F83A38">
      <w:pPr>
        <w:pStyle w:val="a5"/>
        <w:spacing w:before="156" w:after="156"/>
        <w:ind w:firstLine="480"/>
        <w:rPr>
          <w:lang w:eastAsia="zh-CN"/>
        </w:rPr>
      </w:pPr>
      <w:r>
        <w:rPr>
          <w:rFonts w:hint="eastAsia"/>
          <w:lang w:eastAsia="zh-CN"/>
        </w:rPr>
        <w:t>《瞭望》：开展跨境监管沙盒试点有何具体路径选择？</w:t>
      </w:r>
    </w:p>
    <w:p w14:paraId="518D18F6" w14:textId="77777777" w:rsidR="00F83A38" w:rsidRDefault="00F83A38" w:rsidP="00F83A38">
      <w:pPr>
        <w:pStyle w:val="a5"/>
        <w:spacing w:before="156" w:after="156"/>
        <w:ind w:firstLine="480"/>
        <w:rPr>
          <w:lang w:eastAsia="zh-CN"/>
        </w:rPr>
      </w:pPr>
      <w:r>
        <w:rPr>
          <w:rFonts w:hint="eastAsia"/>
          <w:lang w:eastAsia="zh-CN"/>
        </w:rPr>
        <w:t>邢毓静：当前跨境金融创新大多为基于产品的“管道式”互联互通，容易导致碎片化、政策博弈等问题，市场主体体验感和获得感不强。深港开展跨境监管沙盒试点，应聚焦系统性、集成性、平台性跨境金融创新，打造一条跨境金融创新“高速公路”，推动深港金融内在、一体化、“造血”式融合发展。</w:t>
      </w:r>
    </w:p>
    <w:p w14:paraId="77A2F7DD" w14:textId="77777777" w:rsidR="00F83A38" w:rsidRDefault="00F83A38" w:rsidP="00F83A38">
      <w:pPr>
        <w:pStyle w:val="a5"/>
        <w:spacing w:before="156" w:after="156"/>
        <w:ind w:firstLine="480"/>
        <w:rPr>
          <w:lang w:eastAsia="zh-CN"/>
        </w:rPr>
      </w:pPr>
      <w:r>
        <w:rPr>
          <w:rFonts w:hint="eastAsia"/>
          <w:lang w:eastAsia="zh-CN"/>
        </w:rPr>
        <w:t>一是开展“单一通行证”跨境沙盒试点。“单一通行证”制度最早于欧盟内部推行，其具体的表现形式是，只要合格金融机构所在成员国批准，该金融机构便可在其他成员国自由开展业务，展业地不再施加其他额外的监管要求。</w:t>
      </w:r>
    </w:p>
    <w:p w14:paraId="59561CBE" w14:textId="77777777" w:rsidR="00F83A38" w:rsidRDefault="00F83A38" w:rsidP="00F83A38">
      <w:pPr>
        <w:pStyle w:val="a5"/>
        <w:spacing w:before="156" w:after="156"/>
        <w:ind w:firstLine="480"/>
        <w:rPr>
          <w:lang w:eastAsia="zh-CN"/>
        </w:rPr>
      </w:pPr>
      <w:r>
        <w:rPr>
          <w:rFonts w:hint="eastAsia"/>
          <w:lang w:eastAsia="zh-CN"/>
        </w:rPr>
        <w:t>在深港两地，可由深港金融监管部门联合组织相关金融市场主体，梳理内地和香港各类金融业务规则与标准的差异，在此基础上凝聚共识、求同存异，划定具体金融业务实现同城化所需共同遵守的最低标准。可具体按照银行、证券、保险等传统行业以及金融科技、绿色金融、供应链金融等新兴议题进行划分。</w:t>
      </w:r>
    </w:p>
    <w:p w14:paraId="38C9BD42" w14:textId="77777777" w:rsidR="00F83A38" w:rsidRDefault="00F83A38" w:rsidP="00F83A38">
      <w:pPr>
        <w:pStyle w:val="a5"/>
        <w:spacing w:before="156" w:after="156"/>
        <w:ind w:firstLine="480"/>
        <w:rPr>
          <w:lang w:eastAsia="zh-CN"/>
        </w:rPr>
      </w:pPr>
      <w:r>
        <w:rPr>
          <w:rFonts w:hint="eastAsia"/>
          <w:lang w:eastAsia="zh-CN"/>
        </w:rPr>
        <w:t>划定最低标准后，可按照“先易后难”的顺序推进“单一通行证”跨境监管沙盒试点。特定金融业务可从共识广泛的金融科技入手，逐步拓展到湾区居民金融服务需求领域，最后覆盖所有金融业务。试点范围可逐步从合格金融机构拓展到全部金融机构。</w:t>
      </w:r>
    </w:p>
    <w:p w14:paraId="311E9719" w14:textId="596034A5" w:rsidR="004569DD" w:rsidRPr="004569DD" w:rsidRDefault="00F83A38" w:rsidP="00F83A38">
      <w:pPr>
        <w:pStyle w:val="a5"/>
        <w:spacing w:before="156" w:after="156"/>
        <w:ind w:firstLine="480"/>
        <w:rPr>
          <w:lang w:eastAsia="zh-CN"/>
        </w:rPr>
      </w:pPr>
      <w:r>
        <w:rPr>
          <w:rFonts w:hint="eastAsia"/>
          <w:lang w:eastAsia="zh-CN"/>
        </w:rPr>
        <w:t>二是以数字人民币为载体，开展资本项目可兑换跨境沙盒试点。在投资者适当性管理框架下，探索针对跨境金融服务需求强烈、风险可控的市场主体，使用数字人民币这一载体在深港间开展资本项目可兑换试点，一方面通过数字人民币的便捷支付特性，加快推动资本项目可兑换和人民币国际化，另外一方面通过数字人民币的智能合约、实时交易数据监控功能，有效防控风险。</w:t>
      </w:r>
    </w:p>
    <w:p w14:paraId="19BBD43B" w14:textId="77777777" w:rsidR="00425B93" w:rsidRDefault="008659C3">
      <w:pPr>
        <w:pStyle w:val="1"/>
        <w:spacing w:before="156" w:after="156"/>
      </w:pPr>
      <w:bookmarkStart w:id="7" w:name="_Toc73300056"/>
      <w:r>
        <w:rPr>
          <w:rFonts w:hint="eastAsia"/>
        </w:rPr>
        <w:t>【政策要闻】</w:t>
      </w:r>
      <w:bookmarkEnd w:id="7"/>
    </w:p>
    <w:p w14:paraId="5BAAD4CB" w14:textId="559DFF7F" w:rsidR="0083461B" w:rsidRDefault="00830A73" w:rsidP="0083461B">
      <w:pPr>
        <w:pStyle w:val="2"/>
        <w:spacing w:before="156" w:after="156"/>
      </w:pPr>
      <w:bookmarkStart w:id="8" w:name="_Toc73300057"/>
      <w:r w:rsidRPr="00830A73">
        <w:rPr>
          <w:rFonts w:hint="eastAsia"/>
        </w:rPr>
        <w:t>五部门联合约谈提醒大宗商品重点企业</w:t>
      </w:r>
      <w:bookmarkEnd w:id="8"/>
    </w:p>
    <w:p w14:paraId="461AF3E4" w14:textId="77777777" w:rsidR="00830A73" w:rsidRDefault="00830A73" w:rsidP="00830A73">
      <w:pPr>
        <w:pStyle w:val="a5"/>
        <w:spacing w:before="156" w:after="156"/>
        <w:ind w:firstLine="480"/>
        <w:rPr>
          <w:lang w:eastAsia="zh-CN"/>
        </w:rPr>
      </w:pPr>
      <w:r>
        <w:rPr>
          <w:rFonts w:hint="eastAsia"/>
          <w:lang w:eastAsia="zh-CN"/>
        </w:rPr>
        <w:t>国家发展改革委、工业和信息化部、国资委、市场监管总局、证监会等五个部门于</w:t>
      </w:r>
      <w:r>
        <w:rPr>
          <w:lang w:eastAsia="zh-CN"/>
        </w:rPr>
        <w:t>23日上午召开会议，联合约谈了铁矿石、钢材、铜、铝等行业具有较强市场影响力的重点企业，钢铁工业协会、有色金属协会参加。</w:t>
      </w:r>
    </w:p>
    <w:p w14:paraId="34B021CB" w14:textId="77777777" w:rsidR="00830A73" w:rsidRDefault="00830A73" w:rsidP="00830A73">
      <w:pPr>
        <w:pStyle w:val="a5"/>
        <w:spacing w:before="156" w:after="156"/>
        <w:ind w:firstLine="480"/>
        <w:rPr>
          <w:lang w:eastAsia="zh-CN"/>
        </w:rPr>
      </w:pPr>
      <w:r>
        <w:rPr>
          <w:rFonts w:hint="eastAsia"/>
          <w:lang w:eastAsia="zh-CN"/>
        </w:rPr>
        <w:t>会议指出，今年以来，部分大宗商品价格持续大幅上涨，一些品种价格连创新高，引起各方面广泛关注。本轮价格上涨是多种因素共同作用的结果，既有国际传导因素，也有许多方面</w:t>
      </w:r>
      <w:r>
        <w:rPr>
          <w:rFonts w:hint="eastAsia"/>
          <w:lang w:eastAsia="zh-CN"/>
        </w:rPr>
        <w:lastRenderedPageBreak/>
        <w:t>反映存在过度投机炒作行为，扰乱正常产销循环，对价格上涨产生了推波助澜作用。</w:t>
      </w:r>
    </w:p>
    <w:p w14:paraId="6908A575" w14:textId="77777777" w:rsidR="00830A73" w:rsidRDefault="00830A73" w:rsidP="00830A73">
      <w:pPr>
        <w:pStyle w:val="a5"/>
        <w:spacing w:before="156" w:after="156"/>
        <w:ind w:firstLine="480"/>
        <w:rPr>
          <w:lang w:eastAsia="zh-CN"/>
        </w:rPr>
      </w:pPr>
      <w:r>
        <w:rPr>
          <w:rFonts w:hint="eastAsia"/>
          <w:lang w:eastAsia="zh-CN"/>
        </w:rPr>
        <w:t>会议要求，有关重点企业要提高站位，树立大局意识，积极履行社会责任，促进上下游行业协调发展，维护行业良好生态；要强化法律意识，依法合规有序经营，带头维护大宗商品市场价格秩序，不得相互串通操纵市场价格、捏造散播涨价信息，不得囤积居奇、哄抬价格。有关行业协会要从有利于行业长远健康发展的角度，正确履行行业自治组织职能，发挥好桥梁纽带作用，指导行业企业加强自律，共同维护好行业正常市场秩序。</w:t>
      </w:r>
    </w:p>
    <w:p w14:paraId="71F2E775" w14:textId="77777777" w:rsidR="00830A73" w:rsidRDefault="00830A73" w:rsidP="00830A73">
      <w:pPr>
        <w:pStyle w:val="a5"/>
        <w:spacing w:before="156" w:after="156"/>
        <w:ind w:firstLine="480"/>
        <w:rPr>
          <w:lang w:eastAsia="zh-CN"/>
        </w:rPr>
      </w:pPr>
      <w:r>
        <w:rPr>
          <w:rFonts w:hint="eastAsia"/>
          <w:lang w:eastAsia="zh-CN"/>
        </w:rPr>
        <w:t>会议明确，下一步，有关监管部门将密切跟踪监测大宗商品价格走势，加强大宗商品期货和现货市场联动监管，对违法行为“零容忍”，持续加大执法检查力度，排查异常交易和恶意炒作，坚决依法严厉查处达成实施垄断协议、散播虚假信息、哄抬价格、囤积居奇等违法行为。</w:t>
      </w:r>
    </w:p>
    <w:p w14:paraId="3F65EB9F" w14:textId="21D18297" w:rsidR="00830A73" w:rsidRPr="00830A73" w:rsidRDefault="00830A73" w:rsidP="00830A73">
      <w:pPr>
        <w:pStyle w:val="a5"/>
        <w:spacing w:before="156" w:after="156"/>
        <w:ind w:firstLine="480"/>
        <w:rPr>
          <w:lang w:eastAsia="zh-CN"/>
        </w:rPr>
      </w:pPr>
      <w:r>
        <w:rPr>
          <w:rFonts w:hint="eastAsia"/>
          <w:lang w:eastAsia="zh-CN"/>
        </w:rPr>
        <w:t>参会企业和行业协会表示，将按照约谈提醒要求，认真规范生产经营行为，切实履行社会责任，坚持依法合规经营，为营造和谐稳定的市场和价格秩序作出积极贡献。</w:t>
      </w:r>
    </w:p>
    <w:p w14:paraId="19BBD449" w14:textId="25FFF02F" w:rsidR="00576F3A" w:rsidRDefault="006A4BF7" w:rsidP="00576F3A">
      <w:pPr>
        <w:pStyle w:val="2"/>
        <w:spacing w:before="156" w:after="156"/>
      </w:pPr>
      <w:bookmarkStart w:id="9" w:name="_Toc73300058"/>
      <w:r w:rsidRPr="006A4BF7">
        <w:rPr>
          <w:rFonts w:hint="eastAsia"/>
        </w:rPr>
        <w:t>六部门：稳妥扩大农村普惠金融改革试点</w:t>
      </w:r>
      <w:bookmarkEnd w:id="9"/>
    </w:p>
    <w:p w14:paraId="74134F04" w14:textId="77777777" w:rsidR="006A4BF7" w:rsidRDefault="006A4BF7" w:rsidP="006A4BF7">
      <w:pPr>
        <w:pStyle w:val="a5"/>
        <w:spacing w:before="156" w:after="156"/>
        <w:ind w:firstLine="480"/>
        <w:rPr>
          <w:lang w:eastAsia="zh-CN"/>
        </w:rPr>
      </w:pPr>
      <w:r>
        <w:rPr>
          <w:rFonts w:hint="eastAsia"/>
          <w:lang w:eastAsia="zh-CN"/>
        </w:rPr>
        <w:t>中国人民银行</w:t>
      </w:r>
      <w:r>
        <w:rPr>
          <w:lang w:eastAsia="zh-CN"/>
        </w:rPr>
        <w:t>5月25日消息，近日，人民银行、中央农办、农业农村部、财政部、银保监会和证监会发布《关于金融支持新型农业经营主体发展的意见》明确，稳妥扩大农村普惠金融改革试点，依照程序建设金融服务乡村振兴试验区，将对新型农业经营主体的金融服务情况纳入金融机构服务乡村振兴考核评估，强化评估结果运用。</w:t>
      </w:r>
    </w:p>
    <w:p w14:paraId="116823B3" w14:textId="77777777" w:rsidR="006A4BF7" w:rsidRDefault="006A4BF7" w:rsidP="006A4BF7">
      <w:pPr>
        <w:pStyle w:val="a5"/>
        <w:spacing w:before="156" w:after="156"/>
        <w:ind w:firstLine="480"/>
        <w:rPr>
          <w:lang w:eastAsia="zh-CN"/>
        </w:rPr>
      </w:pPr>
      <w:r>
        <w:rPr>
          <w:rFonts w:hint="eastAsia"/>
          <w:lang w:eastAsia="zh-CN"/>
        </w:rPr>
        <w:t>《意见》指出，当前，家庭农场、农民合作社、农业社会化服务组织等新型农业经营主体已逐步成为保障农民稳定增收、农产品有效供给、农业转型升级的重要力量。做好新型农业经营主体金融服务，对于巩固拓展脱贫攻坚成果、助力乡村全面振兴和农业农村现代化、构建新发展格局具有重要意义。</w:t>
      </w:r>
    </w:p>
    <w:p w14:paraId="7F2E38B7" w14:textId="77777777" w:rsidR="006A4BF7" w:rsidRDefault="006A4BF7" w:rsidP="006A4BF7">
      <w:pPr>
        <w:pStyle w:val="a5"/>
        <w:spacing w:before="156" w:after="156"/>
        <w:ind w:firstLine="480"/>
        <w:rPr>
          <w:lang w:eastAsia="zh-CN"/>
        </w:rPr>
      </w:pPr>
      <w:r>
        <w:rPr>
          <w:rFonts w:hint="eastAsia"/>
          <w:lang w:eastAsia="zh-CN"/>
        </w:rPr>
        <w:t>《意见》从加强信息共享、增强金融承载力、健全金融服务组织体系、推动发展信用贷款、拓宽抵押质押物范围、创新专属金融产品和服务、完善信贷风险监测分担补偿机制、拓宽多元化融资渠道、提升农业保险服务能力、强化政策激励等方面，对做好新型农业经营主体金融服务提出了具体要求。</w:t>
      </w:r>
    </w:p>
    <w:p w14:paraId="3949F8E0" w14:textId="77777777" w:rsidR="006A4BF7" w:rsidRDefault="006A4BF7" w:rsidP="006A4BF7">
      <w:pPr>
        <w:pStyle w:val="a5"/>
        <w:spacing w:before="156" w:after="156"/>
        <w:ind w:firstLine="480"/>
        <w:rPr>
          <w:lang w:eastAsia="zh-CN"/>
        </w:rPr>
      </w:pPr>
      <w:r>
        <w:rPr>
          <w:rFonts w:hint="eastAsia"/>
          <w:lang w:eastAsia="zh-CN"/>
        </w:rPr>
        <w:t>《意见》强调，加强新型农业经营主体信息共享，健全名单发布制度，加强银企融资对接。银行业金融机构要为符合条件的新型农业经营主体提供免担保的信用贷款支持，针对不同类型新型农业经营主体的特点，研究制定差异化的信用贷款政策。积极推广农村承包土地的经营权抵押贷款，支持农机具和大棚设施等依法合规抵押质押融资。积极开展新型农业经营主体“首贷”、无还本续贷业务。支持符合条件的新型农业经营主体通过债券和股权进行融资。健全农</w:t>
      </w:r>
      <w:r>
        <w:rPr>
          <w:rFonts w:hint="eastAsia"/>
          <w:lang w:eastAsia="zh-CN"/>
        </w:rPr>
        <w:lastRenderedPageBreak/>
        <w:t>业再保险制度和大灾风险分散机制。</w:t>
      </w:r>
    </w:p>
    <w:p w14:paraId="6C929078" w14:textId="7B33E6DA" w:rsidR="006A4BF7" w:rsidRPr="006A4BF7" w:rsidRDefault="006A4BF7" w:rsidP="006A4BF7">
      <w:pPr>
        <w:pStyle w:val="a5"/>
        <w:spacing w:before="156" w:after="156"/>
        <w:ind w:firstLine="480"/>
        <w:rPr>
          <w:lang w:eastAsia="zh-CN"/>
        </w:rPr>
      </w:pPr>
      <w:r>
        <w:rPr>
          <w:rFonts w:hint="eastAsia"/>
          <w:lang w:eastAsia="zh-CN"/>
        </w:rPr>
        <w:t>人民银行表示，下一步，将与中央农办、农业农村部、财政部、银保监会、证监会等部门，以及地方政府、金融系统密切协作、共同发力，推动《意见》精神落到实处，不断提升新型农业经营主体金融服务的可得性、覆盖面、便利度，推动农村一二三产业融合发展，提高农业质量效益和竞争力。</w:t>
      </w:r>
    </w:p>
    <w:p w14:paraId="19BBD450" w14:textId="6496340F" w:rsidR="00327511" w:rsidRDefault="00C125D4" w:rsidP="00327511">
      <w:pPr>
        <w:pStyle w:val="2"/>
        <w:spacing w:before="156" w:after="156"/>
      </w:pPr>
      <w:bookmarkStart w:id="10" w:name="_Toc73300059"/>
      <w:r w:rsidRPr="00C125D4">
        <w:rPr>
          <w:rFonts w:hint="eastAsia"/>
        </w:rPr>
        <w:t>四部门：建设全国一体化算力网络国家枢纽节点</w:t>
      </w:r>
      <w:bookmarkEnd w:id="10"/>
    </w:p>
    <w:p w14:paraId="62B76391" w14:textId="77777777" w:rsidR="00C125D4" w:rsidRDefault="00C125D4" w:rsidP="00C125D4">
      <w:pPr>
        <w:pStyle w:val="a5"/>
        <w:spacing w:before="156" w:after="156"/>
        <w:ind w:firstLine="480"/>
        <w:rPr>
          <w:lang w:eastAsia="zh-CN"/>
        </w:rPr>
      </w:pPr>
      <w:r>
        <w:rPr>
          <w:rFonts w:hint="eastAsia"/>
          <w:lang w:eastAsia="zh-CN"/>
        </w:rPr>
        <w:t>国家发改委</w:t>
      </w:r>
      <w:r>
        <w:rPr>
          <w:lang w:eastAsia="zh-CN"/>
        </w:rPr>
        <w:t>5月26日消息，国家发改委、中央网信办、工业和信息化部、国家能源局近日联合印发《全国一体化大数据中心协同创新体系算力枢纽实施方案》，明确提出布局建设全国算力网络国家枢纽节点，加快实施“东数西算”工程，构建国家算力网络体系。</w:t>
      </w:r>
    </w:p>
    <w:p w14:paraId="5FA46B9E" w14:textId="77777777" w:rsidR="00C125D4" w:rsidRDefault="00C125D4" w:rsidP="00C125D4">
      <w:pPr>
        <w:pStyle w:val="a5"/>
        <w:spacing w:before="156" w:after="156"/>
        <w:ind w:firstLine="480"/>
        <w:rPr>
          <w:lang w:eastAsia="zh-CN"/>
        </w:rPr>
      </w:pPr>
      <w:r>
        <w:rPr>
          <w:rFonts w:hint="eastAsia"/>
          <w:lang w:eastAsia="zh-CN"/>
        </w:rPr>
        <w:t>《方案》明确，统筹围绕国家重大区域发展战略，根据能源结构、产业布局、市场发展、气候环境等，在京津冀、长三角、粤港澳大湾区、成渝，以及贵州、内蒙古、甘肃、宁夏等地布局建设全国一体化算力网络国家枢纽节点，发展数据中心集群，引导数据中心集约化、规模化、绿色化发展。国家枢纽节点之间进一步打通网络传输通道，加快实施“东数西算”工程，提升跨区域算力调度水平。同时，加强云算力服务、数据流通、数据应用、安全保障等方面的探索实践，发挥示范和带动作用。国家枢纽节点以外的地区，统筹省内数据中心规划布局，与国家枢纽节点加强衔接，参与国家和省之间算力级联调度，开展算力与算法、数据、应用资源的一体化协同创新。</w:t>
      </w:r>
    </w:p>
    <w:p w14:paraId="36F71BBE" w14:textId="77777777" w:rsidR="00C125D4" w:rsidRDefault="00C125D4" w:rsidP="00C125D4">
      <w:pPr>
        <w:pStyle w:val="a5"/>
        <w:spacing w:before="156" w:after="156"/>
        <w:ind w:firstLine="480"/>
        <w:rPr>
          <w:lang w:eastAsia="zh-CN"/>
        </w:rPr>
      </w:pPr>
      <w:r>
        <w:rPr>
          <w:rFonts w:hint="eastAsia"/>
          <w:lang w:eastAsia="zh-CN"/>
        </w:rPr>
        <w:t>《方案》指出，对于京津冀、长三角、粤港澳大湾区、成渝等用户规模较大、应用需求强烈的节点，重点统筹好城市内部和周边区域的数据中心布局，实现大规模算力部署与土地、用能、水、电等资源的协调可持续，优化数据中心供给结构，扩展算力增长空间，满足重大区域发展战略实施需要。对于贵州、内蒙古、甘肃、宁夏等可再生能源丰富、气候适宜、数据中心绿色发展潜力较大的节点，重点提升算力服务品质和利用效率，充分发挥资源优势，夯实网络等基础保障，积极承接全国范围需后台加工、离线分析、存储备份等非实时算力需求，打造面向全国的非实时性算力保障基地。</w:t>
      </w:r>
    </w:p>
    <w:p w14:paraId="558401A6" w14:textId="77777777" w:rsidR="00C125D4" w:rsidRDefault="00C125D4" w:rsidP="00C125D4">
      <w:pPr>
        <w:pStyle w:val="a5"/>
        <w:spacing w:before="156" w:after="156"/>
        <w:ind w:firstLine="480"/>
        <w:rPr>
          <w:lang w:eastAsia="zh-CN"/>
        </w:rPr>
      </w:pPr>
      <w:r>
        <w:rPr>
          <w:rFonts w:hint="eastAsia"/>
          <w:lang w:eastAsia="zh-CN"/>
        </w:rPr>
        <w:t>在数据中心布局方面，《方案》指出，引导超大型、大型数据中心集聚发展，构建数据中心集群，推进大规模数据的“云端”分析处理，重点支持对海量规模数据的集中处理，支撑工业互联网、金融证券、灾害预警、远程医疗、视频通话、人工智能推理等抵近一线、高频实时交互型的业务需求，数据中心端到端单向网络时延原则上在</w:t>
      </w:r>
      <w:r>
        <w:rPr>
          <w:lang w:eastAsia="zh-CN"/>
        </w:rPr>
        <w:t>20毫秒范围内。贵州、内蒙古、甘肃、宁夏节点内的数据中心集群，优先承接后台加工、离线分析、存储备份等非实时算力需求。起步阶段，对于京津冀、长三角、粤港澳大湾区、成渝等跨区域的国家枢纽节点，原则上布局</w:t>
      </w:r>
      <w:r>
        <w:rPr>
          <w:lang w:eastAsia="zh-CN"/>
        </w:rPr>
        <w:lastRenderedPageBreak/>
        <w:t>不超过2个集群。对于</w:t>
      </w:r>
      <w:r>
        <w:rPr>
          <w:rFonts w:hint="eastAsia"/>
          <w:lang w:eastAsia="zh-CN"/>
        </w:rPr>
        <w:t>贵州、内蒙古、甘肃、宁夏等单一行政区域的国家枢纽节点，原则上布局</w:t>
      </w:r>
      <w:r>
        <w:rPr>
          <w:lang w:eastAsia="zh-CN"/>
        </w:rPr>
        <w:t>1个集群。集群应注重集约化发展，明确数据中心建设规模、节能水平、上架率等准入标准，避免盲目投资建设。</w:t>
      </w:r>
    </w:p>
    <w:p w14:paraId="6AC76C79" w14:textId="77777777" w:rsidR="00C125D4" w:rsidRDefault="00C125D4" w:rsidP="00C125D4">
      <w:pPr>
        <w:pStyle w:val="a5"/>
        <w:spacing w:before="156" w:after="156"/>
        <w:ind w:firstLine="480"/>
        <w:rPr>
          <w:lang w:eastAsia="zh-CN"/>
        </w:rPr>
      </w:pPr>
      <w:r>
        <w:rPr>
          <w:rFonts w:hint="eastAsia"/>
          <w:lang w:eastAsia="zh-CN"/>
        </w:rPr>
        <w:t>《方案》指出，在城市城区内部，加快对现有数据中心的改造升级，提升效能。支持发展高性能、边缘数据中心。鼓励城区内的数据中心作为算力“边缘”端，优先满足金融市场高频交易、虚拟现实</w:t>
      </w:r>
      <w:r>
        <w:rPr>
          <w:lang w:eastAsia="zh-CN"/>
        </w:rPr>
        <w:t>/增强现实（VR/AR）、超高清视频、车联网、联网无人机、智慧电力、智能工厂、智能安防等实时性要求高的业务需求，数据中心端到端单向网络时延原则上在10毫秒范围内。</w:t>
      </w:r>
    </w:p>
    <w:p w14:paraId="20135D9A" w14:textId="77777777" w:rsidR="00C125D4" w:rsidRDefault="00C125D4" w:rsidP="00C125D4">
      <w:pPr>
        <w:pStyle w:val="a5"/>
        <w:spacing w:before="156" w:after="156"/>
        <w:ind w:firstLine="480"/>
        <w:rPr>
          <w:lang w:eastAsia="zh-CN"/>
        </w:rPr>
      </w:pPr>
      <w:r>
        <w:rPr>
          <w:rFonts w:hint="eastAsia"/>
          <w:lang w:eastAsia="zh-CN"/>
        </w:rPr>
        <w:t>《方案》明确了国家枢纽节点九方面重点任务：加强绿色集约建设、推动核心技术突破、加快网络互联互通、加强能源供给保障、强化能耗监测管理、提升算力服务水平、促进数据有序流通、深化数据智能应用、确保网络数据安全。</w:t>
      </w:r>
    </w:p>
    <w:p w14:paraId="38E0E6C0" w14:textId="27467118" w:rsidR="00C125D4" w:rsidRPr="00C125D4" w:rsidRDefault="00C125D4" w:rsidP="00C125D4">
      <w:pPr>
        <w:pStyle w:val="a5"/>
        <w:spacing w:before="156" w:after="156"/>
        <w:ind w:firstLine="480"/>
        <w:rPr>
          <w:lang w:eastAsia="zh-CN"/>
        </w:rPr>
      </w:pPr>
      <w:r>
        <w:rPr>
          <w:rFonts w:hint="eastAsia"/>
          <w:lang w:eastAsia="zh-CN"/>
        </w:rPr>
        <w:t>国家发改委相关负责人表示，未来将加大工作统筹，推动各枢纽节点尽快建立健全工作协调推进机制，明确责任部门，细化时间表、路线图。推动相关政策试点、工程试点优先在国家枢纽节点实施。并组织开展全国一体化大数据中心协同创新体系重大工程项目建设，在绿色节能、算力调度、数据流通、大数据应用、网络和数据安全等领域支持一批基础性、示范性工程，加大服务器芯片、操作系统等软硬件产品规模化应用。</w:t>
      </w:r>
    </w:p>
    <w:p w14:paraId="19BBD454" w14:textId="249D2FDC" w:rsidR="008B537D" w:rsidRDefault="006A4BF7" w:rsidP="008B537D">
      <w:pPr>
        <w:pStyle w:val="2"/>
        <w:spacing w:before="156" w:after="156"/>
      </w:pPr>
      <w:bookmarkStart w:id="11" w:name="_Toc73300060"/>
      <w:r w:rsidRPr="006A4BF7">
        <w:rPr>
          <w:rFonts w:hint="eastAsia"/>
        </w:rPr>
        <w:t>生态环境部：全国碳市场拟于</w:t>
      </w:r>
      <w:r w:rsidRPr="006A4BF7">
        <w:t>6</w:t>
      </w:r>
      <w:r w:rsidRPr="006A4BF7">
        <w:t>月底前启动</w:t>
      </w:r>
      <w:bookmarkEnd w:id="11"/>
    </w:p>
    <w:p w14:paraId="4301D430" w14:textId="77777777" w:rsidR="006A4BF7" w:rsidRDefault="006A4BF7" w:rsidP="006A4BF7">
      <w:pPr>
        <w:pStyle w:val="a5"/>
        <w:spacing w:before="156" w:after="156"/>
        <w:ind w:firstLine="480"/>
        <w:rPr>
          <w:lang w:eastAsia="zh-CN"/>
        </w:rPr>
      </w:pPr>
      <w:r>
        <w:rPr>
          <w:rFonts w:hint="eastAsia"/>
          <w:lang w:eastAsia="zh-CN"/>
        </w:rPr>
        <w:t>生态环境部</w:t>
      </w:r>
      <w:r>
        <w:rPr>
          <w:lang w:eastAsia="zh-CN"/>
        </w:rPr>
        <w:t>26日举行例行新闻发布会，新闻发言人刘友宾在介绍全国碳市场上线交易准备工作时透露，生态环境部已组织有关单位完成上线交易模拟测试和真实资金测试，正在组织开展上线交易前的各项准备工作，拟于今年6月底前启动全国碳市场上线交易。刘友宾表示，我国碳市场覆盖排放量超过40亿吨，将成为全球覆盖温室气体排放量规模最大的碳市场。</w:t>
      </w:r>
    </w:p>
    <w:p w14:paraId="0C345122" w14:textId="77777777" w:rsidR="006A4BF7" w:rsidRDefault="006A4BF7" w:rsidP="006A4BF7">
      <w:pPr>
        <w:pStyle w:val="a5"/>
        <w:spacing w:before="156" w:after="156"/>
        <w:ind w:firstLine="480"/>
        <w:rPr>
          <w:lang w:eastAsia="zh-CN"/>
        </w:rPr>
      </w:pPr>
      <w:r>
        <w:rPr>
          <w:rFonts w:hint="eastAsia"/>
          <w:lang w:eastAsia="zh-CN"/>
        </w:rPr>
        <w:t>据了解，全国碳市场系统联调测试已于近日开启，正在推进企业尽快熟悉碳交易流程，保障全国碳市场如期顺利启动。生态环境部气候司司长李高也于近期先后赴湖北和上海进行调研，考察全国碳排放权注册登记系统建设工作和全国碳市场交易系统建设工作。</w:t>
      </w:r>
    </w:p>
    <w:p w14:paraId="39B70267" w14:textId="77777777" w:rsidR="006A4BF7" w:rsidRDefault="006A4BF7" w:rsidP="006A4BF7">
      <w:pPr>
        <w:pStyle w:val="a5"/>
        <w:spacing w:before="156" w:after="156"/>
        <w:ind w:firstLine="480"/>
        <w:rPr>
          <w:lang w:eastAsia="zh-CN"/>
        </w:rPr>
      </w:pPr>
      <w:r>
        <w:rPr>
          <w:rFonts w:hint="eastAsia"/>
          <w:lang w:eastAsia="zh-CN"/>
        </w:rPr>
        <w:t>全国碳市场建设顶层设计也基本完善。</w:t>
      </w:r>
      <w:r>
        <w:rPr>
          <w:lang w:eastAsia="zh-CN"/>
        </w:rPr>
        <w:t>2020年年底，生态环境部以部门规章形式出台《碳排放权交易管理办法（试行）》，规定了各级生态环境主管部门和市场参与主体的责任、权利和义务，以及全国碳市场运行的关键环节和工作要求。此外，生态环境部还印发了《2019-2020年全国碳排放权交易配额总量设定与分配实施方案（发电行业）》，公布包括发电企业和自备电厂在内的重点排放单位名单，正式启动全国碳市场第一个履约周期。</w:t>
      </w:r>
    </w:p>
    <w:p w14:paraId="111EBB02" w14:textId="77777777" w:rsidR="006A4BF7" w:rsidRDefault="006A4BF7" w:rsidP="006A4BF7">
      <w:pPr>
        <w:pStyle w:val="a5"/>
        <w:spacing w:before="156" w:after="156"/>
        <w:ind w:firstLine="480"/>
        <w:rPr>
          <w:lang w:eastAsia="zh-CN"/>
        </w:rPr>
      </w:pPr>
      <w:r>
        <w:rPr>
          <w:rFonts w:hint="eastAsia"/>
          <w:lang w:eastAsia="zh-CN"/>
        </w:rPr>
        <w:lastRenderedPageBreak/>
        <w:t>近期，按照《碳排放权交易管理办法（试行）》和《关于印发〈</w:t>
      </w:r>
      <w:r>
        <w:rPr>
          <w:lang w:eastAsia="zh-CN"/>
        </w:rPr>
        <w:t>2019-2020年全国碳排放权交易配额总量设定与分配实施方案（发电行业）〉〈纳入2019-2020年全国碳排放权交易配额管理的重点排放单位名单〉并做好发电行业配额预分配工作的通知》的有关要求，各省级生态环境主管部门已通过全国碳排放权注册登记系统基本完成配额预分配工作。</w:t>
      </w:r>
    </w:p>
    <w:p w14:paraId="4EA691DD" w14:textId="027C1563" w:rsidR="006A4BF7" w:rsidRPr="006A4BF7" w:rsidRDefault="006A4BF7" w:rsidP="006A4BF7">
      <w:pPr>
        <w:pStyle w:val="a5"/>
        <w:spacing w:before="156" w:after="156"/>
        <w:ind w:firstLine="480"/>
        <w:rPr>
          <w:lang w:eastAsia="zh-CN"/>
        </w:rPr>
      </w:pPr>
      <w:r>
        <w:rPr>
          <w:rFonts w:hint="eastAsia"/>
          <w:lang w:eastAsia="zh-CN"/>
        </w:rPr>
        <w:t>我国碳排放权交易已在多个城市进行试点。此前生态环境部应对气候变化司司长李高透露，</w:t>
      </w:r>
      <w:r>
        <w:rPr>
          <w:lang w:eastAsia="zh-CN"/>
        </w:rPr>
        <w:t>2011年以来，我国在7个省市开展了碳排放权交易试点，截至今年3月，共覆盖20多个行业，近3000家重点排放企业，累计覆盖4.4亿吨碳排放量，累计成交金额约104.7亿元。</w:t>
      </w:r>
    </w:p>
    <w:p w14:paraId="19BBD462" w14:textId="0070B245" w:rsidR="00425B93" w:rsidRDefault="00C125D4" w:rsidP="008659C3">
      <w:pPr>
        <w:pStyle w:val="2"/>
        <w:spacing w:before="156" w:after="156"/>
      </w:pPr>
      <w:bookmarkStart w:id="12" w:name="_Toc73300061"/>
      <w:r w:rsidRPr="00C125D4">
        <w:rPr>
          <w:rFonts w:hint="eastAsia"/>
        </w:rPr>
        <w:t>商务部：将引导跨国公司地区总部向海南自贸港集聚</w:t>
      </w:r>
      <w:bookmarkEnd w:id="12"/>
    </w:p>
    <w:p w14:paraId="1915237D" w14:textId="77777777" w:rsidR="00C125D4" w:rsidRDefault="00C125D4" w:rsidP="00C125D4">
      <w:pPr>
        <w:pStyle w:val="a5"/>
        <w:spacing w:before="156" w:after="156"/>
        <w:ind w:firstLine="480"/>
        <w:rPr>
          <w:lang w:eastAsia="zh-CN"/>
        </w:rPr>
      </w:pPr>
      <w:r>
        <w:rPr>
          <w:rFonts w:hint="eastAsia"/>
          <w:lang w:eastAsia="zh-CN"/>
        </w:rPr>
        <w:t>商务部新闻发言人高峰</w:t>
      </w:r>
      <w:r>
        <w:rPr>
          <w:lang w:eastAsia="zh-CN"/>
        </w:rPr>
        <w:t>27日说，下一步在推进海南自贸港建设方面，商务部将引导跨国公司地区总部向海南自由贸易港集聚。</w:t>
      </w:r>
    </w:p>
    <w:p w14:paraId="0D11DC76" w14:textId="77777777" w:rsidR="00C125D4" w:rsidRDefault="00C125D4" w:rsidP="00C125D4">
      <w:pPr>
        <w:pStyle w:val="a5"/>
        <w:spacing w:before="156" w:after="156"/>
        <w:ind w:firstLine="480"/>
        <w:rPr>
          <w:lang w:eastAsia="zh-CN"/>
        </w:rPr>
      </w:pPr>
      <w:r>
        <w:rPr>
          <w:lang w:eastAsia="zh-CN"/>
        </w:rPr>
        <w:t>6月1日是《海南自由贸易港建设总体方案》对外公布一周年。高峰在商务部27日召开的例行新闻发布会上说，目前，海南自贸港贸易投资政策制度体系“四梁八柱”已初步建立。商务部聚焦贸易投资自由化便利化，扎实推进各项工作任务。</w:t>
      </w:r>
    </w:p>
    <w:p w14:paraId="113AB3F3" w14:textId="77777777" w:rsidR="00C125D4" w:rsidRDefault="00C125D4" w:rsidP="00C125D4">
      <w:pPr>
        <w:pStyle w:val="a5"/>
        <w:spacing w:before="156" w:after="156"/>
        <w:ind w:firstLine="480"/>
        <w:rPr>
          <w:lang w:eastAsia="zh-CN"/>
        </w:rPr>
      </w:pPr>
      <w:r>
        <w:rPr>
          <w:rFonts w:hint="eastAsia"/>
          <w:lang w:eastAsia="zh-CN"/>
        </w:rPr>
        <w:t>他介绍，贸易方面，出台</w:t>
      </w:r>
      <w:r>
        <w:rPr>
          <w:lang w:eastAsia="zh-CN"/>
        </w:rPr>
        <w:t>28条推进海南自贸港贸易自由化便利化的政策举措，将海南作为全面深化服务贸易创新发展试点。投资方面，制定出台支持海南服务业扩大开放综合试点方案，制定出台22条放宽市场准入特别措施，涵盖医疗、金融、文化等五大领域等。开放平台建设方面，成功举办首届中国国际消费品博览会。</w:t>
      </w:r>
    </w:p>
    <w:p w14:paraId="328106C9" w14:textId="77777777" w:rsidR="00C125D4" w:rsidRDefault="00C125D4" w:rsidP="00C125D4">
      <w:pPr>
        <w:pStyle w:val="a5"/>
        <w:spacing w:before="156" w:after="156"/>
        <w:ind w:firstLine="480"/>
        <w:rPr>
          <w:lang w:eastAsia="zh-CN"/>
        </w:rPr>
      </w:pPr>
      <w:r>
        <w:rPr>
          <w:rFonts w:hint="eastAsia"/>
          <w:lang w:eastAsia="zh-CN"/>
        </w:rPr>
        <w:t>高峰表示，下一步，商务部将会同有关部门和海南省，探索在海南自贸港特定区域进一步优化货物、物品进出口监管政策环境。在推动出台海南跨境服务贸易负面清单的同时，会同有关方面，在重点领域率先对影响服务贸易自由化便利化的国内规制进行梳理和规范。</w:t>
      </w:r>
    </w:p>
    <w:p w14:paraId="66B62644" w14:textId="3B7CBCDE" w:rsidR="00C125D4" w:rsidRDefault="00C125D4" w:rsidP="00C125D4">
      <w:pPr>
        <w:pStyle w:val="a5"/>
        <w:spacing w:before="156" w:after="156"/>
        <w:ind w:firstLine="480"/>
        <w:rPr>
          <w:lang w:eastAsia="zh-CN"/>
        </w:rPr>
      </w:pPr>
      <w:r>
        <w:rPr>
          <w:rFonts w:hint="eastAsia"/>
          <w:lang w:eastAsia="zh-CN"/>
        </w:rPr>
        <w:t>“在投资方面，将落实好现有开放措施，引导跨国公司地区总部向海南自由贸易港集聚。同时，我们将支持海南自贸港开展更高水平开放压力测试。”高峰说。</w:t>
      </w:r>
    </w:p>
    <w:p w14:paraId="19BBD468" w14:textId="6B00EE63" w:rsidR="00F51D75" w:rsidRDefault="00664241" w:rsidP="00F51D75">
      <w:pPr>
        <w:pStyle w:val="2"/>
        <w:spacing w:before="156" w:after="156"/>
      </w:pPr>
      <w:bookmarkStart w:id="13" w:name="_Toc73300062"/>
      <w:r w:rsidRPr="00664241">
        <w:rPr>
          <w:rFonts w:hint="eastAsia"/>
        </w:rPr>
        <w:t>全国外汇市场自律机制会议：人民币既可能升值也可能贬值</w:t>
      </w:r>
      <w:bookmarkEnd w:id="13"/>
    </w:p>
    <w:p w14:paraId="2C134BED" w14:textId="77777777" w:rsidR="00664241" w:rsidRDefault="00664241" w:rsidP="00664241">
      <w:pPr>
        <w:pStyle w:val="a5"/>
        <w:spacing w:before="156" w:after="156"/>
        <w:ind w:firstLine="480"/>
        <w:rPr>
          <w:lang w:eastAsia="zh-CN"/>
        </w:rPr>
      </w:pPr>
      <w:r>
        <w:rPr>
          <w:lang w:eastAsia="zh-CN"/>
        </w:rPr>
        <w:t>5月27日，全国外汇市场自律机制第七次工作会议在北京召开，外汇自律机制成员机构专题就风险中性相关工作进行交流。会议认为，当前外汇市场总体平衡。未来，影响汇率的市场因素和政策因素很多，人民币既可能升值，也可能贬值。没有任何人可以准确预测汇率走势。不论是短期还是中长期，汇率测不准是必然，双向波动是常态，不论是政府、机构还是个人，都要避免被预测结论误导。以市场供求为基础、参考一篮子货币进行调节、有管理的浮动汇率</w:t>
      </w:r>
      <w:r>
        <w:rPr>
          <w:lang w:eastAsia="zh-CN"/>
        </w:rPr>
        <w:lastRenderedPageBreak/>
        <w:t>制度适合中国国情，应当长期坚持。在这一汇率制度下，汇率不能作为工具，既不能用来贬值刺激出口，也不能用来升</w:t>
      </w:r>
      <w:r>
        <w:rPr>
          <w:rFonts w:hint="eastAsia"/>
          <w:lang w:eastAsia="zh-CN"/>
        </w:rPr>
        <w:t>值抵消大宗商品价格上涨影响。关键是管理好预期，坚决打击各种恶意操纵市场、恶意制造单边预期的行为。</w:t>
      </w:r>
    </w:p>
    <w:p w14:paraId="7383897E" w14:textId="77777777" w:rsidR="00664241" w:rsidRDefault="00664241" w:rsidP="00664241">
      <w:pPr>
        <w:pStyle w:val="a5"/>
        <w:spacing w:before="156" w:after="156"/>
        <w:ind w:firstLine="480"/>
        <w:rPr>
          <w:lang w:eastAsia="zh-CN"/>
        </w:rPr>
      </w:pPr>
      <w:r>
        <w:rPr>
          <w:rFonts w:hint="eastAsia"/>
          <w:lang w:eastAsia="zh-CN"/>
        </w:rPr>
        <w:t>会议强调，企业和金融机构都应积极适应汇率双向波动的状态。企业要聚焦主业，树立“风险中性”理念，避免偏离风险中性的“炒汇”行为，不要赌人民币汇率升值或贬值，久赌必输。金融机构不仅不能帮助企业“炒汇”，自身也不宜“炒汇”，否则不利于银行稳健经营，还会造成汇率大起大落。外汇自律机制要坚持不懈，持续引导企业和金融机构树立“风险中性”理念，制度护航，注重实效，落实好“我为群众办实事”，促进实体经济健康发展。</w:t>
      </w:r>
    </w:p>
    <w:p w14:paraId="2F93BB85" w14:textId="34EF29B5" w:rsidR="00664241" w:rsidRPr="00664241" w:rsidRDefault="00664241" w:rsidP="00664241">
      <w:pPr>
        <w:pStyle w:val="a5"/>
        <w:spacing w:before="156" w:after="156"/>
        <w:ind w:firstLine="480"/>
        <w:rPr>
          <w:lang w:eastAsia="zh-CN"/>
        </w:rPr>
      </w:pPr>
      <w:r>
        <w:rPr>
          <w:rFonts w:hint="eastAsia"/>
          <w:lang w:eastAsia="zh-CN"/>
        </w:rPr>
        <w:t>上周末，中国人民银行副行长刘国强表示，目前，我国外汇市场自主平衡，人民币汇率由市场决定，汇率预期平稳。未来人民币汇率的走势将继续取决于市场供求和国际金融市场变化，双向波动成为常态。人民银行完善以市场供求为基础、参考一篮子货币进行调节、有管理的浮动汇率制度，这一制度在当前和未来一段时期都是适合中国的汇率制度安排。人民银行将注重预期引导，发挥汇率调节宏观经济和国际收支自动稳定器作用，保持人民币汇率在合理均衡水平上的基本稳定。</w:t>
      </w:r>
    </w:p>
    <w:p w14:paraId="19BBD474" w14:textId="07436915" w:rsidR="00380E4B" w:rsidRDefault="00664241" w:rsidP="00380E4B">
      <w:pPr>
        <w:pStyle w:val="2"/>
        <w:spacing w:before="156" w:after="156"/>
      </w:pPr>
      <w:bookmarkStart w:id="14" w:name="_Toc73300063"/>
      <w:r w:rsidRPr="00664241">
        <w:rPr>
          <w:rFonts w:hint="eastAsia"/>
        </w:rPr>
        <w:t>证监会完善新三板终止挂牌制度</w:t>
      </w:r>
      <w:bookmarkEnd w:id="14"/>
    </w:p>
    <w:p w14:paraId="00E93235" w14:textId="77777777" w:rsidR="00664241" w:rsidRDefault="00664241" w:rsidP="00664241">
      <w:pPr>
        <w:pStyle w:val="a5"/>
        <w:spacing w:before="156" w:after="156"/>
        <w:ind w:firstLine="480"/>
        <w:rPr>
          <w:lang w:eastAsia="zh-CN"/>
        </w:rPr>
      </w:pPr>
      <w:r>
        <w:rPr>
          <w:rFonts w:hint="eastAsia"/>
          <w:lang w:eastAsia="zh-CN"/>
        </w:rPr>
        <w:t>证监会</w:t>
      </w:r>
      <w:r>
        <w:rPr>
          <w:lang w:eastAsia="zh-CN"/>
        </w:rPr>
        <w:t>5月28日发布《关于完善全国中小企业股份转让系统终止挂牌制度的指导意见》。《指导意见》充分借鉴上市公司退市制度的实践经验，结合新三板市场特点，进一步完善了主动终止挂牌、强制终止挂牌的基本制度框架，明确了终止挂牌后有关监管安排，突出交易场所主体责任，尊重市场规律和公司自治，加强市场出清和风险防控，加强投资者保护，促进形成更加规范化的市场退出制度。</w:t>
      </w:r>
    </w:p>
    <w:p w14:paraId="7CC6F417" w14:textId="77777777" w:rsidR="00664241" w:rsidRDefault="00664241" w:rsidP="00664241">
      <w:pPr>
        <w:pStyle w:val="a5"/>
        <w:spacing w:before="156" w:after="156"/>
        <w:ind w:firstLine="480"/>
        <w:rPr>
          <w:lang w:eastAsia="zh-CN"/>
        </w:rPr>
      </w:pPr>
      <w:r>
        <w:rPr>
          <w:rFonts w:hint="eastAsia"/>
          <w:lang w:eastAsia="zh-CN"/>
        </w:rPr>
        <w:t>《指导意见》主要包括三方面内容：一是对主动终止挂牌制度作出了要求。在尊重市场主体自治的基础上，要求挂牌公司应当充分听取中小股东意见，制定合理的异议股东保护措施，及时披露相关信息，全国股转公司从保护中小投资者合法权益角度出发，履行审查职责。二是对强制终止挂牌作出了要求。明确由全国股转公司制定细则，从财务真实性、信息披露和公司治理合法合规性、持续经营能力等方面明确强制终止挂牌情形，承担对强制终止挂牌的审查责任，严肃市场纪律、推动市场出清。三是明确了终止挂牌公司的后续监管安排。明确</w:t>
      </w:r>
      <w:r>
        <w:rPr>
          <w:lang w:eastAsia="zh-CN"/>
        </w:rPr>
        <w:t>200人终止挂牌公司属于非上市公</w:t>
      </w:r>
      <w:r>
        <w:rPr>
          <w:rFonts w:hint="eastAsia"/>
          <w:lang w:eastAsia="zh-CN"/>
        </w:rPr>
        <w:t>众公司，终止挂牌后进入全国股转公司设立的专区转让，全国股转公司对公司的股份转让、信息披露等事项进行自律管理。</w:t>
      </w:r>
    </w:p>
    <w:p w14:paraId="44B3AC94" w14:textId="77777777" w:rsidR="00664241" w:rsidRDefault="00664241" w:rsidP="00664241">
      <w:pPr>
        <w:pStyle w:val="a5"/>
        <w:spacing w:before="156" w:after="156"/>
        <w:ind w:firstLine="480"/>
        <w:rPr>
          <w:lang w:eastAsia="zh-CN"/>
        </w:rPr>
      </w:pPr>
      <w:r>
        <w:rPr>
          <w:rFonts w:hint="eastAsia"/>
          <w:lang w:eastAsia="zh-CN"/>
        </w:rPr>
        <w:t>证监会介绍，《指导意见》自</w:t>
      </w:r>
      <w:r>
        <w:rPr>
          <w:lang w:eastAsia="zh-CN"/>
        </w:rPr>
        <w:t>2021年1月29日至2月28日向社会公开征求意见，共收到有效意见建议10条，集中于终止挂牌公司的股份托管及转让安排、投资者保护、主办券商职责等操</w:t>
      </w:r>
      <w:r>
        <w:rPr>
          <w:lang w:eastAsia="zh-CN"/>
        </w:rPr>
        <w:lastRenderedPageBreak/>
        <w:t>作层面的问题。总体看，各方对《指导意见》的基本思路、框架和主要内容表示赞同。证监会对各方提出的意见建议，进行了认真梳理研究，并将在后续工作中予以落实。</w:t>
      </w:r>
    </w:p>
    <w:p w14:paraId="40AD7BF2" w14:textId="14492ABE" w:rsidR="00664241" w:rsidRPr="00664241" w:rsidRDefault="00664241" w:rsidP="00664241">
      <w:pPr>
        <w:pStyle w:val="a5"/>
        <w:spacing w:before="156" w:after="156"/>
        <w:ind w:firstLine="480"/>
        <w:rPr>
          <w:lang w:eastAsia="zh-CN"/>
        </w:rPr>
      </w:pPr>
      <w:r>
        <w:rPr>
          <w:rFonts w:hint="eastAsia"/>
          <w:lang w:eastAsia="zh-CN"/>
        </w:rPr>
        <w:t>证监会表示，下一步将指导全国股转公司持续完善相关的自律规则，加强投资者保护，促进市场出清，持续完善“有进有出”“能进能出”的新三板终止挂牌制度。</w:t>
      </w:r>
    </w:p>
    <w:p w14:paraId="4C554BC7" w14:textId="0EDF0799" w:rsidR="00B9408D" w:rsidRDefault="00B9408D" w:rsidP="00B9408D">
      <w:pPr>
        <w:pStyle w:val="2"/>
        <w:spacing w:before="156" w:after="156"/>
      </w:pPr>
      <w:bookmarkStart w:id="15" w:name="_Toc73300064"/>
      <w:r w:rsidRPr="00B9408D">
        <w:rPr>
          <w:rFonts w:hint="eastAsia"/>
        </w:rPr>
        <w:t>深交所发放减负“大礼包”！逾</w:t>
      </w:r>
      <w:r w:rsidRPr="00B9408D">
        <w:t>65%</w:t>
      </w:r>
      <w:r w:rsidRPr="00B9408D">
        <w:t>的深市公司将暂免缴纳上市费</w:t>
      </w:r>
      <w:bookmarkEnd w:id="15"/>
    </w:p>
    <w:p w14:paraId="12E29851" w14:textId="77777777" w:rsidR="00B9408D" w:rsidRDefault="00B9408D" w:rsidP="00B9408D">
      <w:pPr>
        <w:pStyle w:val="a5"/>
        <w:spacing w:before="156" w:after="156"/>
        <w:ind w:firstLine="480"/>
        <w:rPr>
          <w:lang w:eastAsia="zh-CN"/>
        </w:rPr>
      </w:pPr>
      <w:r>
        <w:rPr>
          <w:lang w:eastAsia="zh-CN"/>
        </w:rPr>
        <w:t>5月28日，深交所发布《关于下调股票上市费收费标准的通知》。经履行相关程序，自2021年6月1日起，深交所将暂免收取总股本在8亿（含）以下的上市公司上市费，并将免收湖北省上市公司上市费的优惠政策延长至2022年12月31日。据统计，本次降费措施实施后，深市超过65%的上市公司将暂免缴纳上市费。</w:t>
      </w:r>
    </w:p>
    <w:p w14:paraId="72548FF4" w14:textId="77777777" w:rsidR="00B9408D" w:rsidRDefault="00B9408D" w:rsidP="00B9408D">
      <w:pPr>
        <w:pStyle w:val="a5"/>
        <w:spacing w:before="156" w:after="156"/>
        <w:ind w:firstLine="480"/>
        <w:rPr>
          <w:lang w:eastAsia="zh-CN"/>
        </w:rPr>
      </w:pPr>
      <w:r>
        <w:rPr>
          <w:rFonts w:hint="eastAsia"/>
          <w:lang w:eastAsia="zh-CN"/>
        </w:rPr>
        <w:t>深交所股票上市费包括上市初费和上市年费，依据上市公司总股本定额收取。本次下调股票上市费收费标准，是深交所在</w:t>
      </w:r>
      <w:r>
        <w:rPr>
          <w:lang w:eastAsia="zh-CN"/>
        </w:rPr>
        <w:t>2012年、2019年下调股票上市费收费标准的基础上，再次下调股票上市费收费标准。</w:t>
      </w:r>
    </w:p>
    <w:p w14:paraId="37F664B4" w14:textId="77777777" w:rsidR="00B9408D" w:rsidRDefault="00B9408D" w:rsidP="00B9408D">
      <w:pPr>
        <w:pStyle w:val="a5"/>
        <w:spacing w:before="156" w:after="156"/>
        <w:ind w:firstLine="480"/>
        <w:rPr>
          <w:lang w:eastAsia="zh-CN"/>
        </w:rPr>
      </w:pPr>
      <w:r>
        <w:rPr>
          <w:rFonts w:hint="eastAsia"/>
          <w:lang w:eastAsia="zh-CN"/>
        </w:rPr>
        <w:t>深交所有关负责人表示，本次进一步下调股票上市费收费标准，是深交所积极贯彻落实党中央国务院有关减税降费政策，服务实体经济，减轻市场主体负担，进一步支持上市公司高质量发展的重要举措。新冠肺炎疫情发生以来，深交所已出台多项措施，支持湖北防控疫情和疫后经济重振，多措并举为湖北企业利用资本市场加快发展提供服务。本次将湖北省上市公司上市费的优惠政策延长至</w:t>
      </w:r>
      <w:r>
        <w:rPr>
          <w:lang w:eastAsia="zh-CN"/>
        </w:rPr>
        <w:t>2022年底，是深交所助力湖北经济疫后重振的又一务实举措。</w:t>
      </w:r>
    </w:p>
    <w:p w14:paraId="5ABB9529" w14:textId="54368A7A" w:rsidR="00B9408D" w:rsidRPr="00B9408D" w:rsidRDefault="00B9408D" w:rsidP="00B9408D">
      <w:pPr>
        <w:pStyle w:val="a5"/>
        <w:spacing w:before="156" w:after="156"/>
        <w:ind w:firstLine="480"/>
        <w:rPr>
          <w:lang w:eastAsia="zh-CN"/>
        </w:rPr>
      </w:pPr>
      <w:r>
        <w:rPr>
          <w:rFonts w:hint="eastAsia"/>
          <w:lang w:eastAsia="zh-CN"/>
        </w:rPr>
        <w:t>下一步，深交所将继续发挥资本市场枢纽作用，坚守服务实体经济的初心，优化服务质量和服务效率，助力上市公司高质量发展。</w:t>
      </w:r>
    </w:p>
    <w:p w14:paraId="19BBD47A" w14:textId="77777777" w:rsidR="00425B93" w:rsidRDefault="008659C3">
      <w:pPr>
        <w:pStyle w:val="1"/>
        <w:spacing w:before="156" w:after="156"/>
      </w:pPr>
      <w:bookmarkStart w:id="16" w:name="_Toc73300065"/>
      <w:r>
        <w:rPr>
          <w:rFonts w:hint="eastAsia"/>
        </w:rPr>
        <w:t>【金融监管】</w:t>
      </w:r>
      <w:bookmarkEnd w:id="16"/>
    </w:p>
    <w:p w14:paraId="5DFB5E8D" w14:textId="4D7998A2" w:rsidR="00830A73" w:rsidRDefault="00830A73" w:rsidP="00830A73">
      <w:pPr>
        <w:pStyle w:val="2"/>
        <w:spacing w:before="156" w:after="156"/>
      </w:pPr>
      <w:bookmarkStart w:id="17" w:name="_Toc73300066"/>
      <w:r w:rsidRPr="00830A73">
        <w:rPr>
          <w:rFonts w:hint="eastAsia"/>
        </w:rPr>
        <w:t>房地产金融强监管态势延续</w:t>
      </w:r>
      <w:bookmarkEnd w:id="17"/>
    </w:p>
    <w:p w14:paraId="62EE5DA3" w14:textId="77777777" w:rsidR="00830A73" w:rsidRDefault="00830A73" w:rsidP="00830A73">
      <w:pPr>
        <w:pStyle w:val="a5"/>
        <w:spacing w:before="156" w:after="156"/>
        <w:ind w:firstLine="480"/>
        <w:rPr>
          <w:lang w:eastAsia="zh-CN"/>
        </w:rPr>
      </w:pPr>
      <w:r>
        <w:rPr>
          <w:rFonts w:hint="eastAsia"/>
          <w:lang w:eastAsia="zh-CN"/>
        </w:rPr>
        <w:t>近期，央行、银保监会等部门多次“喊话”，对房地产金融保持监管高压。地方层面，广东、合肥、深圳等多地金融监管部门针对涉房信贷政策持续“打补丁”，进一步围堵资金漏洞。在“房住不炒”基调下，银保监系统对信贷资金违规输血房地产毫不手软。据同花顺</w:t>
      </w:r>
      <w:r>
        <w:rPr>
          <w:lang w:eastAsia="zh-CN"/>
        </w:rPr>
        <w:t>iFind统计，今年以来，银保监系统披露银行业机构罚单546张，罚金8.37亿元，近半数罚单为涉房、涉地信贷违规。业内人士预计，在房地产金融受到监管当局高度关注的背景下，加强贷款全流程管控、防止资金违规流向房地产等领域仍是未来监管重点。</w:t>
      </w:r>
    </w:p>
    <w:p w14:paraId="0BBA11D6" w14:textId="77777777" w:rsidR="00830A73" w:rsidRPr="00830A73" w:rsidRDefault="00830A73" w:rsidP="00830A73">
      <w:pPr>
        <w:pStyle w:val="a5"/>
        <w:spacing w:before="156" w:after="156"/>
        <w:ind w:firstLine="482"/>
        <w:rPr>
          <w:b/>
          <w:bCs/>
          <w:lang w:eastAsia="zh-CN"/>
        </w:rPr>
      </w:pPr>
      <w:r w:rsidRPr="00830A73">
        <w:rPr>
          <w:rFonts w:hint="eastAsia"/>
          <w:b/>
          <w:bCs/>
          <w:lang w:eastAsia="zh-CN"/>
        </w:rPr>
        <w:t>房地产金融监管政策密集落地</w:t>
      </w:r>
    </w:p>
    <w:p w14:paraId="658DF9BC" w14:textId="77777777" w:rsidR="00830A73" w:rsidRDefault="00830A73" w:rsidP="00830A73">
      <w:pPr>
        <w:pStyle w:val="a5"/>
        <w:spacing w:before="156" w:after="156"/>
        <w:ind w:firstLine="480"/>
        <w:rPr>
          <w:lang w:eastAsia="zh-CN"/>
        </w:rPr>
      </w:pPr>
      <w:r>
        <w:rPr>
          <w:rFonts w:hint="eastAsia"/>
          <w:lang w:eastAsia="zh-CN"/>
        </w:rPr>
        <w:lastRenderedPageBreak/>
        <w:t>近期中央和地方层面密集发声，加大房地产调控力度，深圳、合肥等多个热门城市多次给政策“打补丁”，围堵资金漏洞、规范市场秩序已成为多地楼市调控政策的重要内容之一。</w:t>
      </w:r>
    </w:p>
    <w:p w14:paraId="654A3274" w14:textId="77777777" w:rsidR="00830A73" w:rsidRDefault="00830A73" w:rsidP="00830A73">
      <w:pPr>
        <w:pStyle w:val="a5"/>
        <w:spacing w:before="156" w:after="156"/>
        <w:ind w:firstLine="480"/>
        <w:rPr>
          <w:lang w:eastAsia="zh-CN"/>
        </w:rPr>
      </w:pPr>
      <w:r>
        <w:rPr>
          <w:rFonts w:hint="eastAsia"/>
          <w:lang w:eastAsia="zh-CN"/>
        </w:rPr>
        <w:t>近一个月内，金融监管部门针对房地产金融多次发声。央行副行长李波</w:t>
      </w:r>
      <w:r>
        <w:rPr>
          <w:lang w:eastAsia="zh-CN"/>
        </w:rPr>
        <w:t>5月22日在清华五道口全球金融论坛表示，要充分发挥宏观审慎政策结构性靶向调控的作用，针对房地产金融等特定领域的潜在风险，及时采取宏观审慎措施，防范系统性风险。银保监会5月20日发文表示，对顶风而上、严重扰乱市场秩序、干扰货币信贷政策传导的投机行为给予严肃处理。央行5月11日发布的一季度货币政策执行报告重申“房住不炒”，明确表示坚持稳地价、稳房价、稳预期，保持房地产金融政策的连续性、一致性、稳定性。</w:t>
      </w:r>
    </w:p>
    <w:p w14:paraId="0F854F90" w14:textId="77777777" w:rsidR="00830A73" w:rsidRDefault="00830A73" w:rsidP="00830A73">
      <w:pPr>
        <w:pStyle w:val="a5"/>
        <w:spacing w:before="156" w:after="156"/>
        <w:ind w:firstLine="480"/>
        <w:rPr>
          <w:lang w:eastAsia="zh-CN"/>
        </w:rPr>
      </w:pPr>
      <w:r>
        <w:rPr>
          <w:rFonts w:hint="eastAsia"/>
          <w:lang w:eastAsia="zh-CN"/>
        </w:rPr>
        <w:t>此外，银保监会农村银行部日前就加强农村合作金融机构社团贷款监管向各地征求意见，其中强调社团贷款不得投向房地产业。基金业协会近期也已叫停基金子公司备案房地产供应链类产品。</w:t>
      </w:r>
    </w:p>
    <w:p w14:paraId="1BC1CB0E" w14:textId="77777777" w:rsidR="00830A73" w:rsidRDefault="00830A73" w:rsidP="00830A73">
      <w:pPr>
        <w:pStyle w:val="a5"/>
        <w:spacing w:before="156" w:after="156"/>
        <w:ind w:firstLine="480"/>
        <w:rPr>
          <w:lang w:eastAsia="zh-CN"/>
        </w:rPr>
      </w:pPr>
      <w:r>
        <w:rPr>
          <w:rFonts w:hint="eastAsia"/>
          <w:lang w:eastAsia="zh-CN"/>
        </w:rPr>
        <w:t>地方金融监管部门持续加大监管力度。例如，金融委办公室地方协调机制（广东省）第一次例会表示，广东协调机制各成员单位将强化风险监测与防控，持续督促金融机构加强信贷合规管理。浙江银保监局近日表示，将与地方有关部门加强协作，联合成立工作专班，共同查处打击各类房地产领域违法违规行为。合肥市住房保障和房产管理局发文要求，加强个人住房贷款首付资金来源、最低首付比、偿债收入比、贷款资质的审查，严肃查处经营用途贷款违规流入房地产市场行为。</w:t>
      </w:r>
    </w:p>
    <w:p w14:paraId="7533A096" w14:textId="77777777" w:rsidR="00830A73" w:rsidRDefault="00830A73" w:rsidP="00830A73">
      <w:pPr>
        <w:pStyle w:val="a5"/>
        <w:spacing w:before="156" w:after="156"/>
        <w:ind w:firstLine="480"/>
        <w:rPr>
          <w:lang w:eastAsia="zh-CN"/>
        </w:rPr>
      </w:pPr>
      <w:r>
        <w:rPr>
          <w:rFonts w:hint="eastAsia"/>
          <w:lang w:eastAsia="zh-CN"/>
        </w:rPr>
        <w:t>《经济参考报》记者了解到，北京、上海、广州、深圳等一线城市，在金融监管部门的要求下，对银行进行了自查，个别城市还在一定范围组织了监管检查。</w:t>
      </w:r>
    </w:p>
    <w:p w14:paraId="39FE1C62" w14:textId="77777777" w:rsidR="00830A73" w:rsidRDefault="00830A73" w:rsidP="00830A73">
      <w:pPr>
        <w:pStyle w:val="a5"/>
        <w:spacing w:before="156" w:after="156"/>
        <w:ind w:firstLine="480"/>
        <w:rPr>
          <w:lang w:eastAsia="zh-CN"/>
        </w:rPr>
      </w:pPr>
      <w:r>
        <w:rPr>
          <w:rFonts w:hint="eastAsia"/>
          <w:lang w:eastAsia="zh-CN"/>
        </w:rPr>
        <w:t>在“实施好房地产金融审慎管理制度”的政策导向下，监管机构针对信贷资金违规进入楼市、商业银行违规向房企放贷行为进行严格监管，多家银行高管都重申，今年将持续加强房地产贷款的管控力度。</w:t>
      </w:r>
    </w:p>
    <w:p w14:paraId="0FE13608" w14:textId="77777777" w:rsidR="00830A73" w:rsidRDefault="00830A73" w:rsidP="00830A73">
      <w:pPr>
        <w:pStyle w:val="a5"/>
        <w:spacing w:before="156" w:after="156"/>
        <w:ind w:firstLine="480"/>
        <w:rPr>
          <w:lang w:eastAsia="zh-CN"/>
        </w:rPr>
      </w:pPr>
      <w:r>
        <w:rPr>
          <w:rFonts w:hint="eastAsia"/>
          <w:lang w:eastAsia="zh-CN"/>
        </w:rPr>
        <w:t>交行行长刘珺透露，个人经营贷违规流入房市的排查情况是今年重点工作之一。下一步将进一步加强个人经营贷用途管理。加强贸易背景审核和用途监控，严防信贷资金流入违规领域。建行副行长吕家进表示，将对房地产开发贷继续实施从严的名单制管理，积极开展项目合规性审查，严格把关项目投向和资金用途。</w:t>
      </w:r>
    </w:p>
    <w:p w14:paraId="0525DEFA" w14:textId="77777777" w:rsidR="00830A73" w:rsidRPr="00830A73" w:rsidRDefault="00830A73" w:rsidP="00830A73">
      <w:pPr>
        <w:pStyle w:val="a5"/>
        <w:spacing w:before="156" w:after="156"/>
        <w:ind w:firstLine="482"/>
        <w:rPr>
          <w:b/>
          <w:bCs/>
          <w:lang w:eastAsia="zh-CN"/>
        </w:rPr>
      </w:pPr>
      <w:r w:rsidRPr="00830A73">
        <w:rPr>
          <w:rFonts w:hint="eastAsia"/>
          <w:b/>
          <w:bCs/>
          <w:lang w:eastAsia="zh-CN"/>
        </w:rPr>
        <w:t>多银行违规操作领高额罚单</w:t>
      </w:r>
    </w:p>
    <w:p w14:paraId="1070E24F" w14:textId="77777777" w:rsidR="00830A73" w:rsidRDefault="00830A73" w:rsidP="00830A73">
      <w:pPr>
        <w:pStyle w:val="a5"/>
        <w:spacing w:before="156" w:after="156"/>
        <w:ind w:firstLine="480"/>
        <w:rPr>
          <w:lang w:eastAsia="zh-CN"/>
        </w:rPr>
      </w:pPr>
      <w:r>
        <w:rPr>
          <w:rFonts w:hint="eastAsia"/>
          <w:lang w:eastAsia="zh-CN"/>
        </w:rPr>
        <w:t>随着政策持续收紧，对于房地产金融的监管力度也保持高压。据同花顺</w:t>
      </w:r>
      <w:r>
        <w:rPr>
          <w:lang w:eastAsia="zh-CN"/>
        </w:rPr>
        <w:t>iFind统计，今年以来，银保监会针对银行业机构披露罚单546张，千万级以上罚单10张，其中8张罚单涉及房地</w:t>
      </w:r>
      <w:r>
        <w:rPr>
          <w:lang w:eastAsia="zh-CN"/>
        </w:rPr>
        <w:lastRenderedPageBreak/>
        <w:t>产贷款，涉房贷款相关罚金总额超过3亿元。</w:t>
      </w:r>
    </w:p>
    <w:p w14:paraId="77EEE1BF" w14:textId="77777777" w:rsidR="00830A73" w:rsidRDefault="00830A73" w:rsidP="00830A73">
      <w:pPr>
        <w:pStyle w:val="a5"/>
        <w:spacing w:before="156" w:after="156"/>
        <w:ind w:firstLine="480"/>
        <w:rPr>
          <w:lang w:eastAsia="zh-CN"/>
        </w:rPr>
      </w:pPr>
      <w:r>
        <w:rPr>
          <w:rFonts w:hint="eastAsia"/>
          <w:lang w:eastAsia="zh-CN"/>
        </w:rPr>
        <w:t>其中，华夏银行被罚</w:t>
      </w:r>
      <w:r>
        <w:rPr>
          <w:lang w:eastAsia="zh-CN"/>
        </w:rPr>
        <w:t>9830万元，罚金最高，违规案由涉及“违规向土地储备项目提供融资”“部分理财资金违规投向土地储备项目”。渤海银行罚金9720万元紧随其后，案由包括“违规向资本金不足的房地产项目发放贷款”“违规发放土地储备贷款”“违规向四证不全的房地产项目发放贷款”等。中国银行因“理财资金违规用于支付土地款或置换股东购地借款”“理财资金违规用于土地储备项目”等被罚8761万元。</w:t>
      </w:r>
    </w:p>
    <w:p w14:paraId="09C79E5E" w14:textId="77777777" w:rsidR="00830A73" w:rsidRDefault="00830A73" w:rsidP="00830A73">
      <w:pPr>
        <w:pStyle w:val="a5"/>
        <w:spacing w:before="156" w:after="156"/>
        <w:ind w:firstLine="480"/>
        <w:rPr>
          <w:lang w:eastAsia="zh-CN"/>
        </w:rPr>
      </w:pPr>
      <w:r>
        <w:rPr>
          <w:rFonts w:hint="eastAsia"/>
          <w:lang w:eastAsia="zh-CN"/>
        </w:rPr>
        <w:t>“近期银保监会密集披露罚单，表明国内金融强监管常态化、对金融领域违法违规行为‘零容忍’态度。”光大银行金融市场部分析师周茂华表示。</w:t>
      </w:r>
    </w:p>
    <w:p w14:paraId="5B3114A7" w14:textId="77777777" w:rsidR="00830A73" w:rsidRDefault="00830A73" w:rsidP="00830A73">
      <w:pPr>
        <w:pStyle w:val="a5"/>
        <w:spacing w:before="156" w:after="156"/>
        <w:ind w:firstLine="480"/>
        <w:rPr>
          <w:lang w:eastAsia="zh-CN"/>
        </w:rPr>
      </w:pPr>
      <w:r>
        <w:rPr>
          <w:rFonts w:hint="eastAsia"/>
          <w:lang w:eastAsia="zh-CN"/>
        </w:rPr>
        <w:t>监管部门一再重申银行贷款严禁违规挪用，为何总有银行明知故犯？周茂华表示，这要从供求两端找原因，一方面，国内房地产贷款额度大、信用锁定期限长、利率较高、银行收入稳定，房价稳步增长令抵押品相对安全，房地产不良率低，银行房贷风控管理成本低；另一方面，部分购房者利用银行信贷资金进行“加杠杆”投机炒房，资金具体使用流向存在监控难度大、成本高等问题。</w:t>
      </w:r>
    </w:p>
    <w:p w14:paraId="59413775" w14:textId="77777777" w:rsidR="00830A73" w:rsidRDefault="00830A73" w:rsidP="00830A73">
      <w:pPr>
        <w:pStyle w:val="a5"/>
        <w:spacing w:before="156" w:after="156"/>
        <w:ind w:firstLine="480"/>
        <w:rPr>
          <w:lang w:eastAsia="zh-CN"/>
        </w:rPr>
      </w:pPr>
      <w:r>
        <w:rPr>
          <w:rFonts w:hint="eastAsia"/>
          <w:lang w:eastAsia="zh-CN"/>
        </w:rPr>
        <w:t>一位银行信贷部人士告诉《经济参考报》记者，监管机构始终严格监管信贷资金违规进入房地产市场，但贷后进行资金用途干预并不容易，“试图将贷款资金流向房地产的企业往往存在多头开户，资金在多个账户间转移，这就导致原放款银行难以监督资金流向。”</w:t>
      </w:r>
    </w:p>
    <w:p w14:paraId="3B5660F1" w14:textId="77777777" w:rsidR="00830A73" w:rsidRPr="00830A73" w:rsidRDefault="00830A73" w:rsidP="00830A73">
      <w:pPr>
        <w:pStyle w:val="a5"/>
        <w:spacing w:before="156" w:after="156"/>
        <w:ind w:firstLine="482"/>
        <w:rPr>
          <w:b/>
          <w:bCs/>
          <w:lang w:eastAsia="zh-CN"/>
        </w:rPr>
      </w:pPr>
      <w:r w:rsidRPr="00830A73">
        <w:rPr>
          <w:rFonts w:hint="eastAsia"/>
          <w:b/>
          <w:bCs/>
          <w:lang w:eastAsia="zh-CN"/>
        </w:rPr>
        <w:t>涉房信贷监管仍是“重头戏”</w:t>
      </w:r>
    </w:p>
    <w:p w14:paraId="3BDC4D87" w14:textId="77777777" w:rsidR="00830A73" w:rsidRDefault="00830A73" w:rsidP="00830A73">
      <w:pPr>
        <w:pStyle w:val="a5"/>
        <w:spacing w:before="156" w:after="156"/>
        <w:ind w:firstLine="480"/>
        <w:rPr>
          <w:lang w:eastAsia="zh-CN"/>
        </w:rPr>
      </w:pPr>
      <w:r>
        <w:rPr>
          <w:rFonts w:hint="eastAsia"/>
          <w:lang w:eastAsia="zh-CN"/>
        </w:rPr>
        <w:t>业内人士表示，下半年银行领域监管重点将继续保持连续性和稳定性，预计在信贷投放等领域的督查力度会进一步提升，处罚警示力度将加大。</w:t>
      </w:r>
    </w:p>
    <w:p w14:paraId="758C7953" w14:textId="77777777" w:rsidR="00830A73" w:rsidRDefault="00830A73" w:rsidP="00830A73">
      <w:pPr>
        <w:pStyle w:val="a5"/>
        <w:spacing w:before="156" w:after="156"/>
        <w:ind w:firstLine="480"/>
        <w:rPr>
          <w:lang w:eastAsia="zh-CN"/>
        </w:rPr>
      </w:pPr>
      <w:r>
        <w:rPr>
          <w:rFonts w:hint="eastAsia"/>
          <w:lang w:eastAsia="zh-CN"/>
        </w:rPr>
        <w:t>周茂华认为，下半年银行监管重点还是信贷业务领域，“商业银行盈利贡献的重头业务仍是信贷业务，此外，国内部分银行违规开展业务问题治理难，需要一个过程。”</w:t>
      </w:r>
    </w:p>
    <w:p w14:paraId="0016F724" w14:textId="77777777" w:rsidR="00830A73" w:rsidRDefault="00830A73" w:rsidP="00830A73">
      <w:pPr>
        <w:pStyle w:val="a5"/>
        <w:spacing w:before="156" w:after="156"/>
        <w:ind w:firstLine="480"/>
        <w:rPr>
          <w:lang w:eastAsia="zh-CN"/>
        </w:rPr>
      </w:pPr>
      <w:r>
        <w:rPr>
          <w:rFonts w:hint="eastAsia"/>
          <w:lang w:eastAsia="zh-CN"/>
        </w:rPr>
        <w:t>厦门国际银行投行分析员任涛称，下一步，监管层除了继续防范各种资金违规流入房地产领域，还可能严格控制房地产贷款增速，同时提高房地产贷款风险权重。此外，在严格约束房地产企业信贷融资、供应链融资的基础上，对地产企业股权融资以及普通债券融资（含美元债）进行一定限制。</w:t>
      </w:r>
    </w:p>
    <w:p w14:paraId="6D26BD19" w14:textId="77777777" w:rsidR="00830A73" w:rsidRDefault="00830A73" w:rsidP="00830A73">
      <w:pPr>
        <w:pStyle w:val="a5"/>
        <w:spacing w:before="156" w:after="156"/>
        <w:ind w:firstLine="480"/>
        <w:rPr>
          <w:lang w:eastAsia="zh-CN"/>
        </w:rPr>
      </w:pPr>
      <w:r>
        <w:rPr>
          <w:rFonts w:hint="eastAsia"/>
          <w:lang w:eastAsia="zh-CN"/>
        </w:rPr>
        <w:t>对于严监管背景下商业银行的发展，周茂华表示，稳健经营、提升风控能力、不断增强金融创新能力和服务质量是商业银行的核心竞争力，银行应健全管理制度，培育依法合规开展业务、稳健经营的企业文化，同时进一步优化现代结构。</w:t>
      </w:r>
    </w:p>
    <w:p w14:paraId="05BC2E56" w14:textId="387350A5" w:rsidR="00830A73" w:rsidRDefault="00830A73" w:rsidP="00830A73">
      <w:pPr>
        <w:pStyle w:val="a5"/>
        <w:spacing w:before="156" w:after="156"/>
        <w:ind w:firstLine="480"/>
        <w:rPr>
          <w:lang w:eastAsia="zh-CN"/>
        </w:rPr>
      </w:pPr>
      <w:r>
        <w:rPr>
          <w:rFonts w:hint="eastAsia"/>
          <w:lang w:eastAsia="zh-CN"/>
        </w:rPr>
        <w:lastRenderedPageBreak/>
        <w:t>任涛建议，银行应积极顺应监管导向，将信贷资源投向普惠小微、制造业、科创类、绿色信贷企业，保持在监管导向较为明确领域的信贷投放权重平稳上升。</w:t>
      </w:r>
    </w:p>
    <w:p w14:paraId="19BBD49F" w14:textId="5BC7924C" w:rsidR="00327511" w:rsidRDefault="00664241" w:rsidP="00327511">
      <w:pPr>
        <w:pStyle w:val="2"/>
        <w:spacing w:before="156" w:after="156"/>
      </w:pPr>
      <w:bookmarkStart w:id="18" w:name="_Toc73300067"/>
      <w:r w:rsidRPr="00664241">
        <w:rPr>
          <w:rFonts w:hint="eastAsia"/>
        </w:rPr>
        <w:t>银保监会：未经许可非金融机构和个人不得代理销售理财产品</w:t>
      </w:r>
      <w:bookmarkEnd w:id="18"/>
    </w:p>
    <w:p w14:paraId="2B408A5D" w14:textId="77777777" w:rsidR="00664241" w:rsidRDefault="00664241" w:rsidP="00664241">
      <w:pPr>
        <w:pStyle w:val="a5"/>
        <w:spacing w:before="156" w:after="156"/>
        <w:ind w:firstLine="480"/>
        <w:rPr>
          <w:lang w:eastAsia="zh-CN"/>
        </w:rPr>
      </w:pPr>
      <w:r>
        <w:rPr>
          <w:lang w:eastAsia="zh-CN"/>
        </w:rPr>
        <w:t>5月27日，银保监会发布《理财公司理财产品销售管理暂行办法》（以下简称《办法》），自2021年6月27日起施行。其中明确规定，未经金融监督管理部门许可，任何非金融机构和个人不得代理销售理财产品。这意味着支付宝、京东金融等第三方互联网平台现阶段将不能代销银行理财子公司的产品。</w:t>
      </w:r>
    </w:p>
    <w:p w14:paraId="7BEB9155" w14:textId="77777777" w:rsidR="00664241" w:rsidRDefault="00664241" w:rsidP="00664241">
      <w:pPr>
        <w:pStyle w:val="a5"/>
        <w:spacing w:before="156" w:after="156"/>
        <w:ind w:firstLine="480"/>
        <w:rPr>
          <w:lang w:eastAsia="zh-CN"/>
        </w:rPr>
      </w:pPr>
      <w:r>
        <w:rPr>
          <w:rFonts w:hint="eastAsia"/>
          <w:lang w:eastAsia="zh-CN"/>
        </w:rPr>
        <w:t>《办法》界定了理财产品销售活动概念范畴，明确规定未经金融监督管理部门许可，任何非金融机构和个人不得代理销售理财产品。</w:t>
      </w:r>
    </w:p>
    <w:p w14:paraId="2A797961" w14:textId="77777777" w:rsidR="00664241" w:rsidRDefault="00664241" w:rsidP="00664241">
      <w:pPr>
        <w:pStyle w:val="a5"/>
        <w:spacing w:before="156" w:after="156"/>
        <w:ind w:firstLine="480"/>
        <w:rPr>
          <w:lang w:eastAsia="zh-CN"/>
        </w:rPr>
      </w:pPr>
      <w:r>
        <w:rPr>
          <w:rFonts w:hint="eastAsia"/>
          <w:lang w:eastAsia="zh-CN"/>
        </w:rPr>
        <w:t>《办法》明确了理财产品销售机构范围：一类是销售本公司发行理财产品的理财公司；一类是接受理财公司委托销售其发行理财产品的代理销售机构。下一步，银保监会将根据银行理财产品的转型发展情况，适时将理财产品销售机构范围扩展至其他金融机构和专业机构。</w:t>
      </w:r>
    </w:p>
    <w:p w14:paraId="4EA41FE6" w14:textId="77777777" w:rsidR="00664241" w:rsidRDefault="00664241" w:rsidP="00664241">
      <w:pPr>
        <w:pStyle w:val="a5"/>
        <w:spacing w:before="156" w:after="156"/>
        <w:ind w:firstLine="480"/>
        <w:rPr>
          <w:lang w:eastAsia="zh-CN"/>
        </w:rPr>
      </w:pPr>
      <w:r>
        <w:rPr>
          <w:rFonts w:hint="eastAsia"/>
          <w:lang w:eastAsia="zh-CN"/>
        </w:rPr>
        <w:t>招联金融首席研究员董希淼表示，《办法》对理财产品代理销售机构范围的设定相对谨慎，没有进一步扩大代销机构范围，有助于维持理财产品销售制度的连续性和平稳性，也有助于投资者更好地辨别。</w:t>
      </w:r>
    </w:p>
    <w:p w14:paraId="500BAB39" w14:textId="0FC36DD1" w:rsidR="00664241" w:rsidRDefault="00664241" w:rsidP="00664241">
      <w:pPr>
        <w:pStyle w:val="a5"/>
        <w:spacing w:before="156" w:after="156"/>
        <w:ind w:firstLine="480"/>
        <w:rPr>
          <w:lang w:eastAsia="zh-CN"/>
        </w:rPr>
      </w:pPr>
      <w:r>
        <w:rPr>
          <w:rFonts w:hint="eastAsia"/>
          <w:lang w:eastAsia="zh-CN"/>
        </w:rPr>
        <w:t>他还表示，《办法》正式发布，有助于进一步完善理财公司制度规则体系，更好地保护投资者合法权益，可以预见的是，我国银行理财市场和理财公司将步入稳健发展的新阶段。</w:t>
      </w:r>
    </w:p>
    <w:p w14:paraId="4DEF1421" w14:textId="174D8DAE" w:rsidR="00F6740A" w:rsidRDefault="00664241" w:rsidP="00F6740A">
      <w:pPr>
        <w:pStyle w:val="2"/>
        <w:spacing w:before="156" w:after="156"/>
      </w:pPr>
      <w:bookmarkStart w:id="19" w:name="_Toc73300068"/>
      <w:r w:rsidRPr="00664241">
        <w:rPr>
          <w:rFonts w:hint="eastAsia"/>
        </w:rPr>
        <w:t>银保监会就《再保险业务管理规定》公开征求意见</w:t>
      </w:r>
      <w:bookmarkEnd w:id="19"/>
    </w:p>
    <w:p w14:paraId="11E5E046" w14:textId="77777777" w:rsidR="00664241" w:rsidRDefault="00664241" w:rsidP="00664241">
      <w:pPr>
        <w:pStyle w:val="a5"/>
        <w:spacing w:before="156" w:after="156"/>
        <w:ind w:firstLine="480"/>
        <w:rPr>
          <w:lang w:eastAsia="zh-CN"/>
        </w:rPr>
      </w:pPr>
      <w:r>
        <w:rPr>
          <w:rFonts w:hint="eastAsia"/>
          <w:lang w:eastAsia="zh-CN"/>
        </w:rPr>
        <w:t>银保监会起草的《再保险业务管理规定（征求意见稿）》（以下简称《规定》）日前向社会公开征求意见。《规定》将有利于提升再保险在保险公司风险管理中的定位和作用，规范再保险业务经营行为，强化市场主体的合规经营和风险管理能力。</w:t>
      </w:r>
    </w:p>
    <w:p w14:paraId="1E5BC4DA" w14:textId="77777777" w:rsidR="00664241" w:rsidRDefault="00664241" w:rsidP="00664241">
      <w:pPr>
        <w:pStyle w:val="a5"/>
        <w:spacing w:before="156" w:after="156"/>
        <w:ind w:firstLine="480"/>
        <w:rPr>
          <w:lang w:eastAsia="zh-CN"/>
        </w:rPr>
      </w:pPr>
      <w:r>
        <w:rPr>
          <w:rFonts w:hint="eastAsia"/>
          <w:lang w:eastAsia="zh-CN"/>
        </w:rPr>
        <w:t>银保监会有关部门负责人表示，《规定》修订内容体现在八个方面：一是加强再保险顶层战略管理，要求保险公司和保险集团制定再保险战略并明确了相关内容和实施机制；二是加强再保险业务安全性的监管，强化了再保险业务集中度管理要求，增加了境外分保业务风险监测和管控、再保险流动性管理的要求；三是加强再保险合同管理的监管，增加了及时签订再保险合同文本、及时进行再保险资金结付和上报应收应付情况、加强再保险档案管理的要求；四是加强直保公司开展分入业务的管理，明确了临时分保与合约分保的定义区别，明确并强化了直保公司开展再保险分入业务的资质条件；五是加强再保险经纪人的监管，增加了审慎选择再保</w:t>
      </w:r>
      <w:r>
        <w:rPr>
          <w:rFonts w:hint="eastAsia"/>
          <w:lang w:eastAsia="zh-CN"/>
        </w:rPr>
        <w:lastRenderedPageBreak/>
        <w:t>险经纪人的要求，加强了经纪人信息告知、履行合同责任的规范化要求；六是支持直保市场发展，删除了针对投保人关联企业的限制性条款；七是消除与现有监管政策相冲突的内容，与新的监管政策保持一致；八是精简信息报送任务，统一了报送时间，删除了不必要的报送任务。</w:t>
      </w:r>
    </w:p>
    <w:p w14:paraId="5E06E2DA" w14:textId="0CBD6F77" w:rsidR="00664241" w:rsidRDefault="00664241" w:rsidP="00664241">
      <w:pPr>
        <w:pStyle w:val="a5"/>
        <w:spacing w:before="156" w:after="156"/>
        <w:ind w:firstLine="480"/>
        <w:rPr>
          <w:lang w:eastAsia="zh-CN"/>
        </w:rPr>
      </w:pPr>
      <w:r>
        <w:rPr>
          <w:rFonts w:hint="eastAsia"/>
          <w:lang w:eastAsia="zh-CN"/>
        </w:rPr>
        <w:t>下一步，银保监会将广泛听取各方面意见建议，根据各界反馈意见进一步完善修改《规定》，并适时发布。</w:t>
      </w:r>
    </w:p>
    <w:p w14:paraId="19BBD4AE" w14:textId="77777777" w:rsidR="00425B93" w:rsidRDefault="008659C3">
      <w:pPr>
        <w:pStyle w:val="1"/>
        <w:spacing w:before="156" w:after="156"/>
      </w:pPr>
      <w:bookmarkStart w:id="20" w:name="_Toc73300069"/>
      <w:r>
        <w:rPr>
          <w:rFonts w:hint="eastAsia"/>
        </w:rPr>
        <w:t>【经济解读】</w:t>
      </w:r>
      <w:bookmarkEnd w:id="20"/>
    </w:p>
    <w:p w14:paraId="19BBD4B6" w14:textId="11CD60E4" w:rsidR="008B537D" w:rsidRDefault="00664241" w:rsidP="008B537D">
      <w:pPr>
        <w:pStyle w:val="2"/>
        <w:spacing w:before="156" w:after="156"/>
      </w:pPr>
      <w:bookmarkStart w:id="21" w:name="_Toc73300070"/>
      <w:r w:rsidRPr="00664241">
        <w:rPr>
          <w:rFonts w:hint="eastAsia"/>
        </w:rPr>
        <w:t>二季度经济内生动能增强</w:t>
      </w:r>
      <w:r w:rsidRPr="00664241">
        <w:t xml:space="preserve"> </w:t>
      </w:r>
      <w:r w:rsidRPr="00664241">
        <w:t>宏观调控精准施策</w:t>
      </w:r>
      <w:bookmarkEnd w:id="21"/>
    </w:p>
    <w:p w14:paraId="2DCFDE76" w14:textId="77777777" w:rsidR="00664241" w:rsidRDefault="00664241" w:rsidP="00664241">
      <w:pPr>
        <w:pStyle w:val="a5"/>
        <w:spacing w:before="156" w:after="156"/>
        <w:ind w:firstLine="480"/>
        <w:rPr>
          <w:lang w:eastAsia="zh-CN"/>
        </w:rPr>
      </w:pPr>
      <w:r>
        <w:rPr>
          <w:rFonts w:hint="eastAsia"/>
          <w:lang w:eastAsia="zh-CN"/>
        </w:rPr>
        <w:t>国家统计局</w:t>
      </w:r>
      <w:r>
        <w:rPr>
          <w:lang w:eastAsia="zh-CN"/>
        </w:rPr>
        <w:t>27日发布的数据显示，1月至4月，全国规模以上工业企业实现利润25943.5亿元，同比增长1.06倍，延续了去年下半年以来较快增长态势；与2019年同期相比，利润增长49.6%，两年平均增长22.3%。</w:t>
      </w:r>
    </w:p>
    <w:p w14:paraId="79F01200" w14:textId="77777777" w:rsidR="00664241" w:rsidRDefault="00664241" w:rsidP="00664241">
      <w:pPr>
        <w:pStyle w:val="a5"/>
        <w:spacing w:before="156" w:after="156"/>
        <w:ind w:firstLine="480"/>
        <w:rPr>
          <w:lang w:eastAsia="zh-CN"/>
        </w:rPr>
      </w:pPr>
      <w:r>
        <w:rPr>
          <w:rFonts w:hint="eastAsia"/>
          <w:lang w:eastAsia="zh-CN"/>
        </w:rPr>
        <w:t>分析人士称，在企业生产经营向好、制造业投资和出口增长的支撑下，预计二季度</w:t>
      </w:r>
      <w:r>
        <w:rPr>
          <w:lang w:eastAsia="zh-CN"/>
        </w:rPr>
        <w:t>GDP环比增速将有较大幅度提升。当前工业经济稳定恢复的基础还不牢固，未来财政政策和货币政策对中下游制造业投资的支持力度有望增强。</w:t>
      </w:r>
    </w:p>
    <w:p w14:paraId="424E6467" w14:textId="1F2B0DCA" w:rsidR="00664241" w:rsidRPr="00664241" w:rsidRDefault="00664241" w:rsidP="00664241">
      <w:pPr>
        <w:pStyle w:val="a5"/>
        <w:spacing w:before="156" w:after="156"/>
        <w:ind w:firstLine="482"/>
        <w:rPr>
          <w:b/>
          <w:bCs/>
          <w:lang w:eastAsia="zh-CN"/>
        </w:rPr>
      </w:pPr>
      <w:r w:rsidRPr="00664241">
        <w:rPr>
          <w:rFonts w:hint="eastAsia"/>
          <w:b/>
          <w:bCs/>
          <w:lang w:eastAsia="zh-CN"/>
        </w:rPr>
        <w:t>经济恢复态势延续</w:t>
      </w:r>
    </w:p>
    <w:p w14:paraId="2FEA7D4D" w14:textId="77777777" w:rsidR="00664241" w:rsidRDefault="00664241" w:rsidP="00664241">
      <w:pPr>
        <w:pStyle w:val="a5"/>
        <w:spacing w:before="156" w:after="156"/>
        <w:ind w:firstLine="480"/>
        <w:rPr>
          <w:lang w:eastAsia="zh-CN"/>
        </w:rPr>
      </w:pPr>
      <w:r>
        <w:rPr>
          <w:rFonts w:hint="eastAsia"/>
          <w:lang w:eastAsia="zh-CN"/>
        </w:rPr>
        <w:t>国家统计局数据显示，</w:t>
      </w:r>
      <w:r>
        <w:rPr>
          <w:lang w:eastAsia="zh-CN"/>
        </w:rPr>
        <w:t>4月，规模以上工业企业利润同比增长57.0%，两年平均增长22.6%，比3月加快10.7个百分点。</w:t>
      </w:r>
    </w:p>
    <w:p w14:paraId="0EF19DD6" w14:textId="77777777" w:rsidR="00664241" w:rsidRDefault="00664241" w:rsidP="00664241">
      <w:pPr>
        <w:pStyle w:val="a5"/>
        <w:spacing w:before="156" w:after="156"/>
        <w:ind w:firstLine="480"/>
        <w:rPr>
          <w:lang w:eastAsia="zh-CN"/>
        </w:rPr>
      </w:pPr>
      <w:r>
        <w:rPr>
          <w:rFonts w:hint="eastAsia"/>
          <w:lang w:eastAsia="zh-CN"/>
        </w:rPr>
        <w:t>“工业企业利润延续较快增长态势。”国家统计局工业司高级统计师朱虹表示，今年以来，随着统筹疫情防控和经济社会发展成果进一步巩固，市场需求持续恢复，工业企业生产经营稳中向好，利润总额继续保持较快增长，企业质量效益不断提升。</w:t>
      </w:r>
    </w:p>
    <w:p w14:paraId="61701247" w14:textId="77777777" w:rsidR="00664241" w:rsidRDefault="00664241" w:rsidP="00664241">
      <w:pPr>
        <w:pStyle w:val="a5"/>
        <w:spacing w:before="156" w:after="156"/>
        <w:ind w:firstLine="480"/>
        <w:rPr>
          <w:lang w:eastAsia="zh-CN"/>
        </w:rPr>
      </w:pPr>
      <w:r>
        <w:rPr>
          <w:rFonts w:hint="eastAsia"/>
          <w:lang w:eastAsia="zh-CN"/>
        </w:rPr>
        <w:t>从经济运行的其他指标看，</w:t>
      </w:r>
      <w:r>
        <w:rPr>
          <w:lang w:eastAsia="zh-CN"/>
        </w:rPr>
        <w:t>4月以来经济活动环比加快。一方面，投资动能环比增强。高频数据显示，4月初以来，全国钢材综合价格指数整体上升，月末在146点，较3月末上升近10点；全国水泥综合价格指数趋势性上升，月末在156点左右，比3月末上涨7点。钢材与水泥价格的上涨，除了原材料涨价的传导之外，一定程度上反映了需求端的拉动作用。另一方面，工业生产整体环比加快。国家统计局数据显示，4月规模以上工业增加值同比增长9.8%，两年平均增长6.8%，比3月加快0.6个百分点。</w:t>
      </w:r>
    </w:p>
    <w:p w14:paraId="1F075B0C" w14:textId="77777777" w:rsidR="00664241" w:rsidRDefault="00664241" w:rsidP="00664241">
      <w:pPr>
        <w:pStyle w:val="a5"/>
        <w:spacing w:before="156" w:after="156"/>
        <w:ind w:firstLine="480"/>
        <w:rPr>
          <w:lang w:eastAsia="zh-CN"/>
        </w:rPr>
      </w:pPr>
      <w:r>
        <w:rPr>
          <w:rFonts w:hint="eastAsia"/>
          <w:lang w:eastAsia="zh-CN"/>
        </w:rPr>
        <w:t>“二季度经济增长有望提速。”瑞银中国首席经济学家汪涛预计，季调后二季度实际</w:t>
      </w:r>
      <w:r>
        <w:rPr>
          <w:lang w:eastAsia="zh-CN"/>
        </w:rPr>
        <w:t>GDP环比增速为7%-8%，同比增速为8.3%。</w:t>
      </w:r>
    </w:p>
    <w:p w14:paraId="783C9CD8" w14:textId="77777777" w:rsidR="00664241" w:rsidRDefault="00664241" w:rsidP="00664241">
      <w:pPr>
        <w:pStyle w:val="a5"/>
        <w:spacing w:before="156" w:after="156"/>
        <w:ind w:firstLine="480"/>
        <w:rPr>
          <w:lang w:eastAsia="zh-CN"/>
        </w:rPr>
      </w:pPr>
    </w:p>
    <w:p w14:paraId="485A013B" w14:textId="77777777" w:rsidR="00664241" w:rsidRDefault="00664241" w:rsidP="00664241">
      <w:pPr>
        <w:pStyle w:val="a5"/>
        <w:spacing w:before="156" w:after="156"/>
        <w:ind w:firstLine="480"/>
        <w:rPr>
          <w:lang w:eastAsia="zh-CN"/>
        </w:rPr>
      </w:pPr>
      <w:r>
        <w:rPr>
          <w:rFonts w:hint="eastAsia"/>
          <w:lang w:eastAsia="zh-CN"/>
        </w:rPr>
        <w:lastRenderedPageBreak/>
        <w:t>财信国际经济研究院宏观经济研究中心资深研究员胡文艳认为，二季度</w:t>
      </w:r>
      <w:r>
        <w:rPr>
          <w:lang w:eastAsia="zh-CN"/>
        </w:rPr>
        <w:t>GDP环比增速将较一季度有较大幅度提升，内生动能增强。</w:t>
      </w:r>
    </w:p>
    <w:p w14:paraId="2A16AB92" w14:textId="115439A4" w:rsidR="00664241" w:rsidRPr="00664241" w:rsidRDefault="00664241" w:rsidP="00664241">
      <w:pPr>
        <w:pStyle w:val="a5"/>
        <w:spacing w:before="156" w:after="156"/>
        <w:ind w:firstLine="482"/>
        <w:rPr>
          <w:b/>
          <w:bCs/>
          <w:lang w:eastAsia="zh-CN"/>
        </w:rPr>
      </w:pPr>
      <w:r w:rsidRPr="00664241">
        <w:rPr>
          <w:rFonts w:hint="eastAsia"/>
          <w:b/>
          <w:bCs/>
          <w:lang w:eastAsia="zh-CN"/>
        </w:rPr>
        <w:t>制造业投资和出口构成支撑</w:t>
      </w:r>
    </w:p>
    <w:p w14:paraId="77C488D3" w14:textId="77777777" w:rsidR="00664241" w:rsidRDefault="00664241" w:rsidP="00664241">
      <w:pPr>
        <w:pStyle w:val="a5"/>
        <w:spacing w:before="156" w:after="156"/>
        <w:ind w:firstLine="480"/>
        <w:rPr>
          <w:lang w:eastAsia="zh-CN"/>
        </w:rPr>
      </w:pPr>
      <w:r>
        <w:rPr>
          <w:rFonts w:hint="eastAsia"/>
          <w:lang w:eastAsia="zh-CN"/>
        </w:rPr>
        <w:t>分析人士认为，制造业投资和出口是二季度经济复苏的主要支撑。</w:t>
      </w:r>
    </w:p>
    <w:p w14:paraId="34D58290" w14:textId="77777777" w:rsidR="00664241" w:rsidRDefault="00664241" w:rsidP="00664241">
      <w:pPr>
        <w:pStyle w:val="a5"/>
        <w:spacing w:before="156" w:after="156"/>
        <w:ind w:firstLine="480"/>
        <w:rPr>
          <w:lang w:eastAsia="zh-CN"/>
        </w:rPr>
      </w:pPr>
      <w:r>
        <w:rPr>
          <w:rFonts w:hint="eastAsia"/>
          <w:lang w:eastAsia="zh-CN"/>
        </w:rPr>
        <w:t>国家统计局数据显示，</w:t>
      </w:r>
      <w:r>
        <w:rPr>
          <w:lang w:eastAsia="zh-CN"/>
        </w:rPr>
        <w:t>1月至4月制造业投资同比增长23.8%，两年平均下降0.4%，较一季度回升1.6个百分点。</w:t>
      </w:r>
    </w:p>
    <w:p w14:paraId="2D1596E3" w14:textId="77777777" w:rsidR="00664241" w:rsidRDefault="00664241" w:rsidP="00664241">
      <w:pPr>
        <w:pStyle w:val="a5"/>
        <w:spacing w:before="156" w:after="156"/>
        <w:ind w:firstLine="480"/>
        <w:rPr>
          <w:lang w:eastAsia="zh-CN"/>
        </w:rPr>
      </w:pPr>
      <w:r>
        <w:rPr>
          <w:rFonts w:hint="eastAsia"/>
          <w:lang w:eastAsia="zh-CN"/>
        </w:rPr>
        <w:t>“在外需向好的带动下，制造业投资正在加速回暖，在三大支柱中回升速度最快。”民银智库宏观分析师王静文表示，制造业投资两年平均增速虽尚未转正，但较一季度出现较大幅度回升，转正在即。</w:t>
      </w:r>
    </w:p>
    <w:p w14:paraId="2B0CA454" w14:textId="77777777" w:rsidR="00664241" w:rsidRDefault="00664241" w:rsidP="00664241">
      <w:pPr>
        <w:pStyle w:val="a5"/>
        <w:spacing w:before="156" w:after="156"/>
        <w:ind w:firstLine="480"/>
        <w:rPr>
          <w:lang w:eastAsia="zh-CN"/>
        </w:rPr>
      </w:pPr>
      <w:r>
        <w:rPr>
          <w:rFonts w:hint="eastAsia"/>
          <w:lang w:eastAsia="zh-CN"/>
        </w:rPr>
        <w:t>胡文艳认为，二季度制造业将接棒基建和地产拉动投资上行。在国内外需求共振复苏、上中下游利润分配格局改善、政策支持加码、技术升级周期启动的共同作用下，制造业投资内部结构将趋于改善，二季度整体制造业投资将迎来明显修复。</w:t>
      </w:r>
    </w:p>
    <w:p w14:paraId="32D463F6" w14:textId="77777777" w:rsidR="00664241" w:rsidRDefault="00664241" w:rsidP="00664241">
      <w:pPr>
        <w:pStyle w:val="a5"/>
        <w:spacing w:before="156" w:after="156"/>
        <w:ind w:firstLine="480"/>
        <w:rPr>
          <w:lang w:eastAsia="zh-CN"/>
        </w:rPr>
      </w:pPr>
      <w:r>
        <w:rPr>
          <w:rFonts w:hint="eastAsia"/>
          <w:lang w:eastAsia="zh-CN"/>
        </w:rPr>
        <w:t>“此外，二季度出口将维持高景气。”胡文艳称，海外经济恢复节奏提速，外需对出口支撑加强。从</w:t>
      </w:r>
      <w:r>
        <w:rPr>
          <w:lang w:eastAsia="zh-CN"/>
        </w:rPr>
        <w:t>PMI等领先指标看，二季度全球经济复苏底气十足。根据历史经验，全球商品贸易与全球经济增速高度相关，二季度全球贸易量有望在疫后经济深度复苏背景下进一步回暖，我国出口外需形势向好。另外，海外产能恢复程度有限，短期内我国出口份额下降压力不大。</w:t>
      </w:r>
    </w:p>
    <w:p w14:paraId="713AEC82" w14:textId="70A463B9" w:rsidR="00664241" w:rsidRPr="00664241" w:rsidRDefault="00664241" w:rsidP="00664241">
      <w:pPr>
        <w:pStyle w:val="a5"/>
        <w:spacing w:before="156" w:after="156"/>
        <w:ind w:firstLine="482"/>
        <w:rPr>
          <w:b/>
          <w:bCs/>
          <w:lang w:eastAsia="zh-CN"/>
        </w:rPr>
      </w:pPr>
      <w:r w:rsidRPr="00664241">
        <w:rPr>
          <w:rFonts w:hint="eastAsia"/>
          <w:b/>
          <w:bCs/>
          <w:lang w:eastAsia="zh-CN"/>
        </w:rPr>
        <w:t>宏观政策以“稳”为主</w:t>
      </w:r>
    </w:p>
    <w:p w14:paraId="41CE1E2D" w14:textId="77777777" w:rsidR="00664241" w:rsidRDefault="00664241" w:rsidP="00664241">
      <w:pPr>
        <w:pStyle w:val="a5"/>
        <w:spacing w:before="156" w:after="156"/>
        <w:ind w:firstLine="480"/>
        <w:rPr>
          <w:lang w:eastAsia="zh-CN"/>
        </w:rPr>
      </w:pPr>
      <w:r>
        <w:rPr>
          <w:rFonts w:hint="eastAsia"/>
          <w:lang w:eastAsia="zh-CN"/>
        </w:rPr>
        <w:t>对于下阶段宏观政策，朱虹表示，当前工业经济稳定恢复的基础还不牢固，企业效益改善仍不平衡，尤其是部分消费品行业盈利状况尚未恢复到疫情发生前水平。加之大宗商品价格高位运行，加大中下游行业生产经营压力。“下阶段，要按照党中央决策部署，科学精准实施宏观政策，扎实做好大宗商品保供稳价工作，不断巩固经济稳定恢复基础，推动工业经济持续健康发展。”</w:t>
      </w:r>
    </w:p>
    <w:p w14:paraId="12C388DB" w14:textId="77777777" w:rsidR="00664241" w:rsidRDefault="00664241" w:rsidP="00664241">
      <w:pPr>
        <w:pStyle w:val="a5"/>
        <w:spacing w:before="156" w:after="156"/>
        <w:ind w:firstLine="480"/>
        <w:rPr>
          <w:lang w:eastAsia="zh-CN"/>
        </w:rPr>
      </w:pPr>
      <w:r>
        <w:rPr>
          <w:rFonts w:hint="eastAsia"/>
          <w:lang w:eastAsia="zh-CN"/>
        </w:rPr>
        <w:t>东方金诚首席宏观分析师王青认为，未来财政政策和货币政策对中下游制造业投资的支持力度将增强。</w:t>
      </w:r>
    </w:p>
    <w:p w14:paraId="49F5D2F1" w14:textId="77777777" w:rsidR="00664241" w:rsidRDefault="00664241" w:rsidP="00664241">
      <w:pPr>
        <w:pStyle w:val="a5"/>
        <w:spacing w:before="156" w:after="156"/>
        <w:ind w:firstLine="480"/>
        <w:rPr>
          <w:lang w:eastAsia="zh-CN"/>
        </w:rPr>
      </w:pPr>
      <w:r>
        <w:rPr>
          <w:rFonts w:hint="eastAsia"/>
          <w:lang w:eastAsia="zh-CN"/>
        </w:rPr>
        <w:t>胡文艳预计，为兼顾好短期继续为市场主体纾困、中长期防范金融风险与支持经济结构转型等多重目标，预计流动性收紧力度或偏温和，结构性政策将有所强化，对小微企业、科技和绿色领域的金融支持力度不减。</w:t>
      </w:r>
    </w:p>
    <w:p w14:paraId="180BBC70" w14:textId="7F364CFE" w:rsidR="00664241" w:rsidRPr="00664241" w:rsidRDefault="00664241" w:rsidP="00664241">
      <w:pPr>
        <w:pStyle w:val="a5"/>
        <w:spacing w:before="156" w:after="156"/>
        <w:ind w:firstLine="480"/>
        <w:rPr>
          <w:lang w:eastAsia="zh-CN"/>
        </w:rPr>
      </w:pPr>
      <w:r>
        <w:rPr>
          <w:rFonts w:hint="eastAsia"/>
          <w:lang w:eastAsia="zh-CN"/>
        </w:rPr>
        <w:t>民生银行首席研究员温彬认为，下一阶段，宏观政策以“稳”为主，保持政策连续性、稳</w:t>
      </w:r>
      <w:r>
        <w:rPr>
          <w:rFonts w:hint="eastAsia"/>
          <w:lang w:eastAsia="zh-CN"/>
        </w:rPr>
        <w:lastRenderedPageBreak/>
        <w:t>定性、可持续性。应进一步加大对就业和基本民生的支持力度，提升消费能力和意愿。</w:t>
      </w:r>
    </w:p>
    <w:p w14:paraId="19BBD4BE" w14:textId="4FD6C973" w:rsidR="005945D5" w:rsidRDefault="00664241" w:rsidP="005945D5">
      <w:pPr>
        <w:pStyle w:val="2"/>
        <w:spacing w:before="156" w:after="156"/>
      </w:pPr>
      <w:bookmarkStart w:id="22" w:name="_Toc73300071"/>
      <w:r w:rsidRPr="00664241">
        <w:rPr>
          <w:rFonts w:hint="eastAsia"/>
        </w:rPr>
        <w:t>前</w:t>
      </w:r>
      <w:r w:rsidRPr="00664241">
        <w:t>4</w:t>
      </w:r>
      <w:r w:rsidRPr="00664241">
        <w:t>个月中国累计新办涉税市场主体达</w:t>
      </w:r>
      <w:r w:rsidRPr="00664241">
        <w:t>413</w:t>
      </w:r>
      <w:r w:rsidRPr="00664241">
        <w:t>万户</w:t>
      </w:r>
      <w:bookmarkEnd w:id="22"/>
    </w:p>
    <w:p w14:paraId="14CEB7C4" w14:textId="77777777" w:rsidR="00664241" w:rsidRDefault="00664241" w:rsidP="00664241">
      <w:pPr>
        <w:pStyle w:val="a5"/>
        <w:spacing w:before="156" w:after="156"/>
        <w:ind w:firstLine="480"/>
        <w:rPr>
          <w:lang w:eastAsia="zh-CN"/>
        </w:rPr>
      </w:pPr>
      <w:r>
        <w:rPr>
          <w:rFonts w:hint="eastAsia"/>
          <w:lang w:eastAsia="zh-CN"/>
        </w:rPr>
        <w:t>中国国家税务总局</w:t>
      </w:r>
      <w:r>
        <w:rPr>
          <w:lang w:eastAsia="zh-CN"/>
        </w:rPr>
        <w:t>28日发布数据显示，4月份，全国新办且发生过涉税行为的市场主体达133.6万户；前4个月，全国累计新办涉税市场主体达413万户，同比增长58.5%，两年平均增长13.1%。</w:t>
      </w:r>
    </w:p>
    <w:p w14:paraId="385E1186" w14:textId="77777777" w:rsidR="00664241" w:rsidRDefault="00664241" w:rsidP="00664241">
      <w:pPr>
        <w:pStyle w:val="a5"/>
        <w:spacing w:before="156" w:after="156"/>
        <w:ind w:firstLine="480"/>
        <w:rPr>
          <w:lang w:eastAsia="zh-CN"/>
        </w:rPr>
      </w:pPr>
      <w:r>
        <w:rPr>
          <w:rFonts w:hint="eastAsia"/>
          <w:lang w:eastAsia="zh-CN"/>
        </w:rPr>
        <w:t>国家税务总局新闻发言人荣海楼表示，分类型看，在</w:t>
      </w:r>
      <w:r>
        <w:rPr>
          <w:lang w:eastAsia="zh-CN"/>
        </w:rPr>
        <w:t>4月份的新办涉税市场主体中，新办企业69万户，新办个体工商户62.1万户，新办其他类型市场主体2.5万户，同比分别增长13.6%、31.1%和55%，两年平均分别增长7.8%、10.8%和26.1%。分行业看，当月居民服务业、信息技术业、教育业的新办涉税市场主体增速较快。</w:t>
      </w:r>
    </w:p>
    <w:p w14:paraId="3DA5658C" w14:textId="77777777" w:rsidR="00664241" w:rsidRDefault="00664241" w:rsidP="00664241">
      <w:pPr>
        <w:pStyle w:val="a5"/>
        <w:spacing w:before="156" w:after="156"/>
        <w:ind w:firstLine="480"/>
        <w:rPr>
          <w:lang w:eastAsia="zh-CN"/>
        </w:rPr>
      </w:pPr>
      <w:r>
        <w:rPr>
          <w:rFonts w:hint="eastAsia"/>
          <w:lang w:eastAsia="zh-CN"/>
        </w:rPr>
        <w:t>税收数据记载着市场主体的生产经营状况，时效性强、覆盖面广。根据全国增值税发票数据，今年</w:t>
      </w:r>
      <w:r>
        <w:rPr>
          <w:lang w:eastAsia="zh-CN"/>
        </w:rPr>
        <w:t>4月份，全国企业销售收入两年平均增长12.9%，延续平稳向好态势；工业企业销售收入两年平均增长10.1%，工业经济稳步恢复；消费、投资稳步向好，国民经济恢复性增长态势持续加固。</w:t>
      </w:r>
    </w:p>
    <w:p w14:paraId="0B23218B" w14:textId="5A2E8C00" w:rsidR="00664241" w:rsidRPr="00664241" w:rsidRDefault="00664241" w:rsidP="00664241">
      <w:pPr>
        <w:pStyle w:val="a5"/>
        <w:spacing w:before="156" w:after="156"/>
        <w:ind w:firstLine="480"/>
        <w:rPr>
          <w:lang w:eastAsia="zh-CN"/>
        </w:rPr>
      </w:pPr>
      <w:r>
        <w:rPr>
          <w:rFonts w:hint="eastAsia"/>
          <w:lang w:eastAsia="zh-CN"/>
        </w:rPr>
        <w:t>荣海楼表示，随着减税降费、“放管服”改革、优化营商环境等一系列政策红利的持续释放，中国市场主体活力不断激发，经济发展的内生动力持续增强。下一步，国家税务总局将不折不扣把各项税费优惠政策及时落实到位，不断优化税收营商环境，助力市场主体增强活力。</w:t>
      </w:r>
    </w:p>
    <w:p w14:paraId="19BBD4D6" w14:textId="77777777" w:rsidR="00425B93" w:rsidRDefault="008659C3">
      <w:pPr>
        <w:pStyle w:val="1"/>
        <w:spacing w:before="156" w:after="156"/>
      </w:pPr>
      <w:bookmarkStart w:id="23" w:name="_Toc73300072"/>
      <w:r>
        <w:rPr>
          <w:rFonts w:hint="eastAsia"/>
        </w:rPr>
        <w:t>【金融市场】</w:t>
      </w:r>
      <w:bookmarkEnd w:id="23"/>
    </w:p>
    <w:p w14:paraId="7A3928AD" w14:textId="1A8E0264" w:rsidR="00987DEF" w:rsidRDefault="006A4BF7" w:rsidP="00987DEF">
      <w:pPr>
        <w:pStyle w:val="2"/>
        <w:spacing w:before="156" w:after="156"/>
      </w:pPr>
      <w:bookmarkStart w:id="24" w:name="_Toc73300073"/>
      <w:r w:rsidRPr="006A4BF7">
        <w:rPr>
          <w:rFonts w:hint="eastAsia"/>
        </w:rPr>
        <w:t>财政部：前</w:t>
      </w:r>
      <w:r w:rsidRPr="006A4BF7">
        <w:t>4</w:t>
      </w:r>
      <w:r w:rsidRPr="006A4BF7">
        <w:t>月我国发行地方债</w:t>
      </w:r>
      <w:r w:rsidRPr="006A4BF7">
        <w:t>1.67</w:t>
      </w:r>
      <w:r w:rsidRPr="006A4BF7">
        <w:t>万亿元</w:t>
      </w:r>
      <w:bookmarkEnd w:id="24"/>
    </w:p>
    <w:p w14:paraId="1E3AA95F" w14:textId="77777777" w:rsidR="006A4BF7" w:rsidRDefault="006A4BF7" w:rsidP="006A4BF7">
      <w:pPr>
        <w:pStyle w:val="a5"/>
        <w:spacing w:before="156" w:after="156"/>
        <w:ind w:firstLine="480"/>
        <w:rPr>
          <w:lang w:eastAsia="zh-CN"/>
        </w:rPr>
      </w:pPr>
      <w:r>
        <w:rPr>
          <w:rFonts w:hint="eastAsia"/>
          <w:lang w:eastAsia="zh-CN"/>
        </w:rPr>
        <w:t>财政部</w:t>
      </w:r>
      <w:r>
        <w:rPr>
          <w:lang w:eastAsia="zh-CN"/>
        </w:rPr>
        <w:t>25日发布数据显示，今年4月，全国发行地方政府债券7758亿元。其中，发行一般债券4319亿元，发行专项债券3439亿元；按用途划分，发行新增债券3399亿元，发行再融资债券4359亿元。</w:t>
      </w:r>
    </w:p>
    <w:p w14:paraId="156E9DE7" w14:textId="77777777" w:rsidR="006A4BF7" w:rsidRDefault="006A4BF7" w:rsidP="006A4BF7">
      <w:pPr>
        <w:pStyle w:val="a5"/>
        <w:spacing w:before="156" w:after="156"/>
        <w:ind w:firstLine="480"/>
        <w:rPr>
          <w:lang w:eastAsia="zh-CN"/>
        </w:rPr>
      </w:pPr>
      <w:r>
        <w:rPr>
          <w:rFonts w:hint="eastAsia"/>
          <w:lang w:eastAsia="zh-CN"/>
        </w:rPr>
        <w:t>数据显示，</w:t>
      </w:r>
      <w:r>
        <w:rPr>
          <w:lang w:eastAsia="zh-CN"/>
        </w:rPr>
        <w:t>1-4月，全国发行地方政府债券16709亿元。其中，发行一般债券9530亿元，发行专项债券7179亿元；按用途划分，发行新增债券3763亿元，发行再融资债券12946亿元。</w:t>
      </w:r>
    </w:p>
    <w:p w14:paraId="257B9F2E" w14:textId="77777777" w:rsidR="006A4BF7" w:rsidRDefault="006A4BF7" w:rsidP="006A4BF7">
      <w:pPr>
        <w:pStyle w:val="a5"/>
        <w:spacing w:before="156" w:after="156"/>
        <w:ind w:firstLine="480"/>
        <w:rPr>
          <w:lang w:eastAsia="zh-CN"/>
        </w:rPr>
      </w:pPr>
      <w:r>
        <w:rPr>
          <w:rFonts w:hint="eastAsia"/>
          <w:lang w:eastAsia="zh-CN"/>
        </w:rPr>
        <w:t>经第十三届全国人民代表大会第四次会议审议批准，</w:t>
      </w:r>
      <w:r>
        <w:rPr>
          <w:lang w:eastAsia="zh-CN"/>
        </w:rPr>
        <w:t>2021年全国地方政府债务限额为332774.3亿元，其中一般债务限额151089.22亿元，专项债务限额181685.08亿元。</w:t>
      </w:r>
    </w:p>
    <w:p w14:paraId="002AF2E4" w14:textId="2FBBD503" w:rsidR="006A4BF7" w:rsidRPr="006A4BF7" w:rsidRDefault="006A4BF7" w:rsidP="006A4BF7">
      <w:pPr>
        <w:pStyle w:val="a5"/>
        <w:spacing w:before="156" w:after="156"/>
        <w:ind w:firstLine="480"/>
        <w:rPr>
          <w:lang w:eastAsia="zh-CN"/>
        </w:rPr>
      </w:pPr>
      <w:r>
        <w:rPr>
          <w:rFonts w:hint="eastAsia"/>
          <w:lang w:eastAsia="zh-CN"/>
        </w:rPr>
        <w:t>截至</w:t>
      </w:r>
      <w:r>
        <w:rPr>
          <w:lang w:eastAsia="zh-CN"/>
        </w:rPr>
        <w:t>2021年4月末，全国地方政府债务余额266047亿元，控制在全国人大批准的限额之内。其中，一般债务132387亿元，专项债务133660亿元；政府债券264296亿元，非政府债券形式存量政府债务1751亿元。地方政府债券剩余平均年限6.9年，其中一般债券6.3年，专项债券7.5</w:t>
      </w:r>
      <w:r>
        <w:rPr>
          <w:lang w:eastAsia="zh-CN"/>
        </w:rPr>
        <w:lastRenderedPageBreak/>
        <w:t>年；平均利率3.52%，其中一般债券3.52%，专项债券3.52%。</w:t>
      </w:r>
    </w:p>
    <w:p w14:paraId="031B3900" w14:textId="5EF73483" w:rsidR="00E43518" w:rsidRDefault="00664241" w:rsidP="00E43518">
      <w:pPr>
        <w:pStyle w:val="2"/>
        <w:spacing w:before="156" w:after="156"/>
      </w:pPr>
      <w:bookmarkStart w:id="25" w:name="_Toc73300074"/>
      <w:r w:rsidRPr="00664241">
        <w:t>4</w:t>
      </w:r>
      <w:r w:rsidRPr="00664241">
        <w:t>月末我国普惠小微贷款同比增长超</w:t>
      </w:r>
      <w:r w:rsidRPr="00664241">
        <w:t>3</w:t>
      </w:r>
      <w:r w:rsidRPr="00664241">
        <w:t>成</w:t>
      </w:r>
      <w:bookmarkEnd w:id="25"/>
    </w:p>
    <w:p w14:paraId="4BF4461A" w14:textId="77777777" w:rsidR="00664241" w:rsidRDefault="00664241" w:rsidP="00664241">
      <w:pPr>
        <w:pStyle w:val="a5"/>
        <w:spacing w:before="156" w:after="156"/>
        <w:ind w:firstLine="480"/>
        <w:rPr>
          <w:lang w:eastAsia="zh-CN"/>
        </w:rPr>
      </w:pPr>
      <w:r>
        <w:rPr>
          <w:rFonts w:hint="eastAsia"/>
          <w:lang w:eastAsia="zh-CN"/>
        </w:rPr>
        <w:t>中国人民银行金融市场司副司长朱兆文</w:t>
      </w:r>
      <w:r>
        <w:rPr>
          <w:lang w:eastAsia="zh-CN"/>
        </w:rPr>
        <w:t>28日介绍，人民银行注重加强对受疫情持续影响重点行业企业的精准支持，并取得明显成效。4月末，我国普惠小微贷款同比增长32.5%，文体娱乐业、交通运输和仓储邮政业贷款同比增速均超过10%。</w:t>
      </w:r>
    </w:p>
    <w:p w14:paraId="210E7A8C" w14:textId="77777777" w:rsidR="00664241" w:rsidRDefault="00664241" w:rsidP="00664241">
      <w:pPr>
        <w:pStyle w:val="a5"/>
        <w:spacing w:before="156" w:after="156"/>
        <w:ind w:firstLine="480"/>
        <w:rPr>
          <w:lang w:eastAsia="zh-CN"/>
        </w:rPr>
      </w:pPr>
      <w:r>
        <w:rPr>
          <w:rFonts w:hint="eastAsia"/>
          <w:lang w:eastAsia="zh-CN"/>
        </w:rPr>
        <w:t>朱兆文在当日人民银行举行的“金融支持保市场主体”系列新闻发布会上介绍，今年以来，人民银行一方面保持信贷平稳增长、合理适度，为受疫情持续影响行业企业恢复发展提供适宜的货币金融环境；另一方面，会同相关部门出台政策，创新机制，重点加强对外贸、文旅、线下销售、住宿餐饮、交通运输等行业的金融支持。当前，受疫情影响较大行业企业的贷款稳步增长，呈现出良好态势。</w:t>
      </w:r>
    </w:p>
    <w:p w14:paraId="233496EA" w14:textId="77777777" w:rsidR="00664241" w:rsidRDefault="00664241" w:rsidP="00664241">
      <w:pPr>
        <w:pStyle w:val="a5"/>
        <w:spacing w:before="156" w:after="156"/>
        <w:ind w:firstLine="480"/>
        <w:rPr>
          <w:lang w:eastAsia="zh-CN"/>
        </w:rPr>
      </w:pPr>
      <w:r>
        <w:rPr>
          <w:rFonts w:hint="eastAsia"/>
          <w:lang w:eastAsia="zh-CN"/>
        </w:rPr>
        <w:t>数据显示，</w:t>
      </w:r>
      <w:r>
        <w:rPr>
          <w:lang w:eastAsia="zh-CN"/>
        </w:rPr>
        <w:t>4月末，我国普惠小微贷款余额16.8万亿元，同比增长32.5%，其中，工、农、中、建、交5家国有大行同比增长55.4%。普惠小微贷款中，信用贷款占比为16.3%，比上年末高0.9个百分点。</w:t>
      </w:r>
    </w:p>
    <w:p w14:paraId="73FB1C52" w14:textId="77777777" w:rsidR="00664241" w:rsidRDefault="00664241" w:rsidP="00664241">
      <w:pPr>
        <w:pStyle w:val="a5"/>
        <w:spacing w:before="156" w:after="156"/>
        <w:ind w:firstLine="480"/>
        <w:rPr>
          <w:lang w:eastAsia="zh-CN"/>
        </w:rPr>
      </w:pPr>
      <w:r>
        <w:rPr>
          <w:rFonts w:hint="eastAsia"/>
          <w:lang w:eastAsia="zh-CN"/>
        </w:rPr>
        <w:t>中国银行普惠金融事业部总经理葛春尧在发布会上介绍，</w:t>
      </w:r>
      <w:r>
        <w:rPr>
          <w:lang w:eastAsia="zh-CN"/>
        </w:rPr>
        <w:t>4月末，中行当年累放普惠型小微企业贷款综合融资成本下降超40个基点，普惠型小微贷款年化利率4%以下。</w:t>
      </w:r>
    </w:p>
    <w:p w14:paraId="08109A47" w14:textId="083C0EFF" w:rsidR="00664241" w:rsidRPr="00664241" w:rsidRDefault="00664241" w:rsidP="00664241">
      <w:pPr>
        <w:pStyle w:val="a5"/>
        <w:spacing w:before="156" w:after="156"/>
        <w:ind w:firstLine="480"/>
        <w:rPr>
          <w:lang w:eastAsia="zh-CN"/>
        </w:rPr>
      </w:pPr>
      <w:r>
        <w:rPr>
          <w:rFonts w:hint="eastAsia"/>
          <w:lang w:eastAsia="zh-CN"/>
        </w:rPr>
        <w:t>朱兆文表示，下一步人民银行将保持政策的连续性、稳定性和可持续性，精准做好对不同行业、不同区域、不同规模市场主体的支持。短期内保持对小微企业的金融支持力度不减，进一步加大对个体工商户的支持力度，牵头出台深入开展商业银行中小微企业金融服务能力提升工程的政策措施。</w:t>
      </w:r>
    </w:p>
    <w:p w14:paraId="19BBD4F7" w14:textId="77777777" w:rsidR="00425B93" w:rsidRDefault="008659C3">
      <w:pPr>
        <w:pStyle w:val="1"/>
        <w:spacing w:before="156" w:after="156"/>
      </w:pPr>
      <w:bookmarkStart w:id="26" w:name="_Toc73300075"/>
      <w:r>
        <w:rPr>
          <w:rFonts w:hint="eastAsia"/>
        </w:rPr>
        <w:t>【专家评论】</w:t>
      </w:r>
      <w:bookmarkEnd w:id="26"/>
    </w:p>
    <w:p w14:paraId="7BC3F4EB" w14:textId="56042C6F" w:rsidR="00853711" w:rsidRDefault="00853711" w:rsidP="00853711">
      <w:pPr>
        <w:pStyle w:val="2"/>
        <w:spacing w:before="156" w:after="156"/>
      </w:pPr>
      <w:bookmarkStart w:id="27" w:name="_Toc73300076"/>
      <w:r w:rsidRPr="00853711">
        <w:rPr>
          <w:rFonts w:hint="eastAsia"/>
        </w:rPr>
        <w:t>“中国力量”将为全球经济发展作出重大贡献</w:t>
      </w:r>
      <w:bookmarkEnd w:id="27"/>
    </w:p>
    <w:p w14:paraId="6B7D464F" w14:textId="39D39A61" w:rsidR="00853711" w:rsidRDefault="00853711" w:rsidP="00853711">
      <w:pPr>
        <w:pStyle w:val="a5"/>
        <w:spacing w:before="156" w:after="156"/>
        <w:ind w:firstLine="480"/>
        <w:rPr>
          <w:lang w:eastAsia="zh-CN"/>
        </w:rPr>
      </w:pPr>
      <w:r>
        <w:rPr>
          <w:rFonts w:hint="eastAsia"/>
          <w:lang w:eastAsia="zh-CN"/>
        </w:rPr>
        <w:t>近日，以“新格局新发展新金融”为主题的</w:t>
      </w:r>
      <w:r>
        <w:rPr>
          <w:lang w:eastAsia="zh-CN"/>
        </w:rPr>
        <w:t>2021清华五道口全球金融论坛在京召开。论坛上，中国金融学会会长周小川、中国银行董事长刘连舸等多位嘉宾围绕双循环新发展格局与金融改革开放、变局下的全球经济治理和科技助力金融创新高质量发展等多个主题进行了分享和交流。</w:t>
      </w:r>
    </w:p>
    <w:p w14:paraId="3B6C60F0" w14:textId="77777777" w:rsidR="00853711" w:rsidRPr="00853711" w:rsidRDefault="00853711" w:rsidP="00853711">
      <w:pPr>
        <w:pStyle w:val="a5"/>
        <w:spacing w:before="156" w:after="156"/>
        <w:ind w:firstLine="482"/>
        <w:rPr>
          <w:b/>
          <w:bCs/>
          <w:lang w:eastAsia="zh-CN"/>
        </w:rPr>
      </w:pPr>
      <w:r w:rsidRPr="00853711">
        <w:rPr>
          <w:rFonts w:hint="eastAsia"/>
          <w:b/>
          <w:bCs/>
          <w:lang w:eastAsia="zh-CN"/>
        </w:rPr>
        <w:t>全球治理机制改革和发展仍有待推进</w:t>
      </w:r>
    </w:p>
    <w:p w14:paraId="0204368B" w14:textId="77777777" w:rsidR="00853711" w:rsidRDefault="00853711" w:rsidP="00853711">
      <w:pPr>
        <w:pStyle w:val="a5"/>
        <w:spacing w:before="156" w:after="156"/>
        <w:ind w:firstLine="480"/>
        <w:rPr>
          <w:lang w:eastAsia="zh-CN"/>
        </w:rPr>
      </w:pPr>
      <w:r>
        <w:rPr>
          <w:rFonts w:hint="eastAsia"/>
          <w:lang w:eastAsia="zh-CN"/>
        </w:rPr>
        <w:t>自去年以来，新冠肺炎疫情肆虐全球，经济全球化遭遇逆流，世界经济陷入深度衰退，人类经历了史上罕见的多重危机。在此背景下，中国经济的走向愈发牵动世界的目光。而中国经</w:t>
      </w:r>
      <w:r>
        <w:rPr>
          <w:rFonts w:hint="eastAsia"/>
          <w:lang w:eastAsia="zh-CN"/>
        </w:rPr>
        <w:lastRenderedPageBreak/>
        <w:t>济已进入一个以国内循环为主、国内国际相互促进的双循环发展格局。</w:t>
      </w:r>
    </w:p>
    <w:p w14:paraId="6B7134CF" w14:textId="77777777" w:rsidR="00853711" w:rsidRDefault="00853711" w:rsidP="00853711">
      <w:pPr>
        <w:pStyle w:val="a5"/>
        <w:spacing w:before="156" w:after="156"/>
        <w:ind w:firstLine="480"/>
        <w:rPr>
          <w:lang w:eastAsia="zh-CN"/>
        </w:rPr>
      </w:pPr>
      <w:r>
        <w:rPr>
          <w:rFonts w:hint="eastAsia"/>
          <w:lang w:eastAsia="zh-CN"/>
        </w:rPr>
        <w:t>在清华大学国家金融研究院院长朱民看来，从</w:t>
      </w:r>
      <w:r>
        <w:rPr>
          <w:lang w:eastAsia="zh-CN"/>
        </w:rPr>
        <w:t>1945年到2020年，全球经济结构发生了巨大的变化，发展中国家和新兴经济体今天占全球GDP的比重达到50%，在过去数十年里每年贡献全球经济增长60%以上，成为全球经济的最主要推动力。</w:t>
      </w:r>
    </w:p>
    <w:p w14:paraId="3E06E733" w14:textId="77777777" w:rsidR="00853711" w:rsidRDefault="00853711" w:rsidP="00853711">
      <w:pPr>
        <w:pStyle w:val="a5"/>
        <w:spacing w:before="156" w:after="156"/>
        <w:ind w:firstLine="480"/>
        <w:rPr>
          <w:lang w:eastAsia="zh-CN"/>
        </w:rPr>
      </w:pPr>
      <w:r>
        <w:rPr>
          <w:rFonts w:hint="eastAsia"/>
          <w:lang w:eastAsia="zh-CN"/>
        </w:rPr>
        <w:t>对于如何促进全球经济的发展，朱民认为，仍需推进治理机制的改革和发展。如继续支持</w:t>
      </w:r>
      <w:r>
        <w:rPr>
          <w:lang w:eastAsia="zh-CN"/>
        </w:rPr>
        <w:t>WTO并对WTO进行改革，让贸易的多边主义重新回到世界舞台的中心；随着本世纪以来科学创新不断进步、数字化发展迅猛，关于这些新领域的框架和思路需要搭建；构建以G20为中心的全球治理的政治领导力等。而中国作为世界上第二大经济体和世界最大的新兴经济和发展中国家，在这场改革和构建新的全球经济治理机制中有着当仁不让的责任。</w:t>
      </w:r>
    </w:p>
    <w:p w14:paraId="21650AC1" w14:textId="77777777" w:rsidR="00853711" w:rsidRDefault="00853711" w:rsidP="00853711">
      <w:pPr>
        <w:pStyle w:val="a5"/>
        <w:spacing w:before="156" w:after="156"/>
        <w:ind w:firstLine="480"/>
        <w:rPr>
          <w:lang w:eastAsia="zh-CN"/>
        </w:rPr>
      </w:pPr>
      <w:r>
        <w:rPr>
          <w:rFonts w:hint="eastAsia"/>
          <w:lang w:eastAsia="zh-CN"/>
        </w:rPr>
        <w:t>《经济参考报》记者注意到，本次论坛上，众多专家和学者都不约而同地认为，“中国力量”将为全球经济的发展作出重大贡献。然而随着改革开放的进一步深化，复杂的国际经济金融形势让风险防范工作更具挑战性，如何维护金融安全则被越来越多的人讨论。清华大学五道口金融学院院长张晓慧对此表示：“我们需要密切关注全球资产价格通胀的变化，以及可能随之而来的金融过度杠杆和金融不稳定，做好不同通胀情境下的应对准备，尤其是要妥善管理预期，警惕结构性通胀上升导致部分领域投资过热。”</w:t>
      </w:r>
    </w:p>
    <w:p w14:paraId="6F1FBDAE" w14:textId="77777777" w:rsidR="00853711" w:rsidRPr="00853711" w:rsidRDefault="00853711" w:rsidP="00853711">
      <w:pPr>
        <w:pStyle w:val="a5"/>
        <w:spacing w:before="156" w:after="156"/>
        <w:ind w:firstLine="482"/>
        <w:rPr>
          <w:b/>
          <w:bCs/>
          <w:lang w:eastAsia="zh-CN"/>
        </w:rPr>
      </w:pPr>
      <w:r w:rsidRPr="00853711">
        <w:rPr>
          <w:rFonts w:hint="eastAsia"/>
          <w:b/>
          <w:bCs/>
          <w:lang w:eastAsia="zh-CN"/>
        </w:rPr>
        <w:t>转变发展方式是高质量发展的重中之重</w:t>
      </w:r>
    </w:p>
    <w:p w14:paraId="71C6B79A" w14:textId="77777777" w:rsidR="00853711" w:rsidRDefault="00853711" w:rsidP="00853711">
      <w:pPr>
        <w:pStyle w:val="a5"/>
        <w:spacing w:before="156" w:after="156"/>
        <w:ind w:firstLine="480"/>
        <w:rPr>
          <w:lang w:eastAsia="zh-CN"/>
        </w:rPr>
      </w:pPr>
      <w:r>
        <w:rPr>
          <w:rFonts w:hint="eastAsia"/>
          <w:lang w:eastAsia="zh-CN"/>
        </w:rPr>
        <w:t>当今世界正经历百年未有之大变局，目前我国发展仍然处于重要战略机遇期，但机遇和挑战都有新的发展变化。《经济参考报》记者留意到，不少学者和专家纷纷认为，从我国发展的大逻辑来看，推动高质量发展的前提和基础就是转变发展方式。</w:t>
      </w:r>
    </w:p>
    <w:p w14:paraId="661E0CED" w14:textId="77777777" w:rsidR="00853711" w:rsidRDefault="00853711" w:rsidP="00853711">
      <w:pPr>
        <w:pStyle w:val="a5"/>
        <w:spacing w:before="156" w:after="156"/>
        <w:ind w:firstLine="480"/>
        <w:rPr>
          <w:lang w:eastAsia="zh-CN"/>
        </w:rPr>
      </w:pPr>
      <w:r>
        <w:rPr>
          <w:rFonts w:hint="eastAsia"/>
          <w:lang w:eastAsia="zh-CN"/>
        </w:rPr>
        <w:t>中国银行董事长刘连舸强调，我国消费增长的潜力大、空间足，且新消费场景不断涌现，人们更愿意为教育、娱乐、健康、养老、医疗等付费。目前我国传统消费不断扩容增智，新消费持续涌现。一方面，我国拥有全世界规模最大的中等收入群体，</w:t>
      </w:r>
      <w:r>
        <w:rPr>
          <w:lang w:eastAsia="zh-CN"/>
        </w:rPr>
        <w:t>2020年全国社会消费品总额约6万亿美元，是全世界第二大消费市场。另一方面，消费的行为也不断演变，新消费场景不断涌现出来，具有巨大的发展潜力。</w:t>
      </w:r>
    </w:p>
    <w:p w14:paraId="7BB8EA33" w14:textId="77777777" w:rsidR="00853711" w:rsidRDefault="00853711" w:rsidP="00853711">
      <w:pPr>
        <w:pStyle w:val="a5"/>
        <w:spacing w:before="156" w:after="156"/>
        <w:ind w:firstLine="480"/>
        <w:rPr>
          <w:lang w:eastAsia="zh-CN"/>
        </w:rPr>
      </w:pPr>
      <w:r>
        <w:rPr>
          <w:rFonts w:hint="eastAsia"/>
          <w:lang w:eastAsia="zh-CN"/>
        </w:rPr>
        <w:t>除了消费，在刘连舸看来，目前我国传统基建仍有空间，新基建需求巨大，高端制造业领域目前竞争力还明显不足，以</w:t>
      </w:r>
      <w:r>
        <w:rPr>
          <w:lang w:eastAsia="zh-CN"/>
        </w:rPr>
        <w:t>5G、工业化、互联网这些为基础的新基建在未来将释放更大的潜能。数据显示，2020年至2025年新基建相关领域的各类融资需求估计将达到14万亿元。</w:t>
      </w:r>
    </w:p>
    <w:p w14:paraId="3EFDFC2F" w14:textId="77777777" w:rsidR="00853711" w:rsidRDefault="00853711" w:rsidP="00853711">
      <w:pPr>
        <w:pStyle w:val="a5"/>
        <w:spacing w:before="156" w:after="156"/>
        <w:ind w:firstLine="480"/>
        <w:rPr>
          <w:lang w:eastAsia="zh-CN"/>
        </w:rPr>
      </w:pPr>
      <w:r>
        <w:rPr>
          <w:rFonts w:hint="eastAsia"/>
          <w:lang w:eastAsia="zh-CN"/>
        </w:rPr>
        <w:t>此外，“全球化依然是大趋势”得到了许多专家的肯定。放眼全球，哪些领域值得关注呢？在</w:t>
      </w:r>
      <w:r>
        <w:rPr>
          <w:lang w:eastAsia="zh-CN"/>
        </w:rPr>
        <w:t>2001年诺贝尔经济学奖获得者迈克尔·斯宾塞看来，数字经济、生物制药、能源仍是重要赛</w:t>
      </w:r>
      <w:r>
        <w:rPr>
          <w:lang w:eastAsia="zh-CN"/>
        </w:rPr>
        <w:lastRenderedPageBreak/>
        <w:t>道。迈克尔·斯宾塞认为，数字经济带来的影响涉及全球，很多领域也都受到了数字化的冲击。创新不仅推动了很多机会，有很大的获益，也提高了生产力，这两者是相辅相成的。</w:t>
      </w:r>
    </w:p>
    <w:p w14:paraId="60EF5BBB" w14:textId="77777777" w:rsidR="00853711" w:rsidRPr="00853711" w:rsidRDefault="00853711" w:rsidP="00853711">
      <w:pPr>
        <w:pStyle w:val="a5"/>
        <w:spacing w:before="156" w:after="156"/>
        <w:ind w:firstLine="482"/>
        <w:rPr>
          <w:b/>
          <w:bCs/>
          <w:lang w:eastAsia="zh-CN"/>
        </w:rPr>
      </w:pPr>
      <w:r w:rsidRPr="00853711">
        <w:rPr>
          <w:rFonts w:hint="eastAsia"/>
          <w:b/>
          <w:bCs/>
          <w:lang w:eastAsia="zh-CN"/>
        </w:rPr>
        <w:t>科技持续引领金融创新高质量发展</w:t>
      </w:r>
    </w:p>
    <w:p w14:paraId="442651FA" w14:textId="77777777" w:rsidR="00853711" w:rsidRDefault="00853711" w:rsidP="00853711">
      <w:pPr>
        <w:pStyle w:val="a5"/>
        <w:spacing w:before="156" w:after="156"/>
        <w:ind w:firstLine="480"/>
        <w:rPr>
          <w:lang w:eastAsia="zh-CN"/>
        </w:rPr>
      </w:pPr>
      <w:r>
        <w:rPr>
          <w:rFonts w:hint="eastAsia"/>
          <w:lang w:eastAsia="zh-CN"/>
        </w:rPr>
        <w:t>无论是经济内循环还是外循环，其最终目的都是形成推动经济增长的活力、产业升级的动力和吸收外部冲击的能力，而培育经济增长新动能自然离不开金融支持。在众多专家和学者看来，构建适应经济增长新模式的现代金融服务体系，持续引领金融创新高质量发展，才能更好地助力构建双循环新发展格局，</w:t>
      </w:r>
    </w:p>
    <w:p w14:paraId="2F860A30" w14:textId="77777777" w:rsidR="00853711" w:rsidRDefault="00853711" w:rsidP="00853711">
      <w:pPr>
        <w:pStyle w:val="a5"/>
        <w:spacing w:before="156" w:after="156"/>
        <w:ind w:firstLine="480"/>
        <w:rPr>
          <w:lang w:eastAsia="zh-CN"/>
        </w:rPr>
      </w:pPr>
      <w:r>
        <w:rPr>
          <w:rFonts w:hint="eastAsia"/>
          <w:lang w:eastAsia="zh-CN"/>
        </w:rPr>
        <w:t>在未来五年的金融政策上，国家外汇管理局副局长陆磊认为，我们首先需要科学准确全面理解金融业高质量发展的方向标和路线图。根据中央部署，结合中长期发展的内外部环境，准确识变、科学应变、主动求变，在危机中育先机、于变局中开新局是“十四五”时期的金融改革发展的主要任务。陆磊表示，以推动高质量发展为核心，以深化供给侧结构性改革为主线，以改革创新为根本动力，应对各种内外部风险挑战，助力构建新发展格局，是金融业高质量发展的基本要义。这需要从着力提升我国金融治理体系和治理能力现代化、构建金融有效支持实体经济的体制机制、加快建立与金融强国地位相适应的现代金融体系、守住不发生系统性金融风险底线和提升金融科技水平和监管能力等五个方面共同努力。</w:t>
      </w:r>
    </w:p>
    <w:p w14:paraId="0395490C" w14:textId="25485DFC" w:rsidR="00853711" w:rsidRPr="00853711" w:rsidRDefault="00853711" w:rsidP="00853711">
      <w:pPr>
        <w:pStyle w:val="a5"/>
        <w:spacing w:before="156" w:after="156"/>
        <w:ind w:firstLine="480"/>
        <w:rPr>
          <w:lang w:eastAsia="zh-CN"/>
        </w:rPr>
      </w:pPr>
      <w:r>
        <w:rPr>
          <w:rFonts w:hint="eastAsia"/>
          <w:lang w:eastAsia="zh-CN"/>
        </w:rPr>
        <w:t>值得一提的是，北京市地方金融监督管理局局长霍学文提出的“未来金融科技将呈现七大趋势”引起了与会者的热烈讨论和高度关注。霍学文的“七大趋势”主要包括：金融技术发展总是边缘突破；金融科技首先替代高人力成本业务；金融科技让普惠金融从理想变成现实；金融科技让金融监管不断面临平衡选择；金融监管越来越需要强化监管科技；智能监管是未来趋势；智能监管需要强大的金融风险监测预警系统。</w:t>
      </w:r>
    </w:p>
    <w:p w14:paraId="19BBD512" w14:textId="77777777" w:rsidR="00425B93" w:rsidRDefault="008659C3">
      <w:pPr>
        <w:pStyle w:val="1"/>
        <w:spacing w:before="156" w:after="156"/>
      </w:pPr>
      <w:bookmarkStart w:id="28" w:name="_Toc73300077"/>
      <w:r>
        <w:rPr>
          <w:rFonts w:hint="eastAsia"/>
        </w:rPr>
        <w:t>【机构评论】</w:t>
      </w:r>
      <w:bookmarkEnd w:id="28"/>
    </w:p>
    <w:p w14:paraId="0E377661" w14:textId="17DA6BE2" w:rsidR="00F40794" w:rsidRDefault="004569DD" w:rsidP="00F40794">
      <w:pPr>
        <w:pStyle w:val="2"/>
        <w:spacing w:before="156" w:after="156"/>
      </w:pPr>
      <w:bookmarkStart w:id="29" w:name="_Toc73300078"/>
      <w:r w:rsidRPr="004569DD">
        <w:rPr>
          <w:rFonts w:hint="eastAsia"/>
        </w:rPr>
        <w:t>证监会：证券业要在做专做优做精做强上更加努力</w:t>
      </w:r>
      <w:bookmarkEnd w:id="29"/>
    </w:p>
    <w:p w14:paraId="4192510B" w14:textId="77777777" w:rsidR="004569DD" w:rsidRDefault="004569DD" w:rsidP="004569DD">
      <w:pPr>
        <w:pStyle w:val="a5"/>
        <w:spacing w:before="156" w:after="156"/>
        <w:ind w:firstLine="480"/>
        <w:rPr>
          <w:lang w:eastAsia="zh-CN"/>
        </w:rPr>
      </w:pPr>
      <w:r>
        <w:rPr>
          <w:rFonts w:hint="eastAsia"/>
          <w:lang w:eastAsia="zh-CN"/>
        </w:rPr>
        <w:t>中国证监会主席易会满</w:t>
      </w:r>
      <w:r>
        <w:rPr>
          <w:lang w:eastAsia="zh-CN"/>
        </w:rPr>
        <w:t>22日在中国证券业协会第七次会员大会上就证券业高质量发展作系统性阐述，行业的高质量发展，绝不仅仅是做大规模，更重要的是紧紧围绕主责主业，在做专做优做精做强上更加努力。要做到“六个必须”，准确把握行业高质量发展的本质内涵。此外，他详细论述了放松管制和加强监管、稳健经营与创新发展、压实责任与明确责任边界、行政监管与自律管理四方面关系。</w:t>
      </w:r>
    </w:p>
    <w:p w14:paraId="08301173" w14:textId="77777777" w:rsidR="004569DD" w:rsidRDefault="004569DD" w:rsidP="004569DD">
      <w:pPr>
        <w:pStyle w:val="a5"/>
        <w:spacing w:before="156" w:after="156"/>
        <w:ind w:firstLine="480"/>
        <w:rPr>
          <w:lang w:eastAsia="zh-CN"/>
        </w:rPr>
      </w:pPr>
      <w:r>
        <w:rPr>
          <w:rFonts w:hint="eastAsia"/>
          <w:lang w:eastAsia="zh-CN"/>
        </w:rPr>
        <w:t>谈及近期市场比较关注的“伪市值管理”，易会满表示，“伪市值管理”本质是操纵股价，证监会对此始终保持“零容忍”态势，对利益链条上的相关方，无论涉及谁，一经查实，将从</w:t>
      </w:r>
      <w:r>
        <w:rPr>
          <w:rFonts w:hint="eastAsia"/>
          <w:lang w:eastAsia="zh-CN"/>
        </w:rPr>
        <w:lastRenderedPageBreak/>
        <w:t>严从快从重处理并及时向市场公开。</w:t>
      </w:r>
    </w:p>
    <w:p w14:paraId="325B9905" w14:textId="60476CD1" w:rsidR="004569DD" w:rsidRPr="004569DD" w:rsidRDefault="004569DD" w:rsidP="004569DD">
      <w:pPr>
        <w:pStyle w:val="a5"/>
        <w:spacing w:before="156" w:after="156"/>
        <w:ind w:firstLine="482"/>
        <w:rPr>
          <w:b/>
          <w:bCs/>
          <w:lang w:eastAsia="zh-CN"/>
        </w:rPr>
      </w:pPr>
      <w:r w:rsidRPr="004569DD">
        <w:rPr>
          <w:rFonts w:hint="eastAsia"/>
          <w:b/>
          <w:bCs/>
          <w:lang w:eastAsia="zh-CN"/>
        </w:rPr>
        <w:t>把握行业高质量发展内涵</w:t>
      </w:r>
    </w:p>
    <w:p w14:paraId="44FFB4FA" w14:textId="77777777" w:rsidR="004569DD" w:rsidRDefault="004569DD" w:rsidP="004569DD">
      <w:pPr>
        <w:pStyle w:val="a5"/>
        <w:spacing w:before="156" w:after="156"/>
        <w:ind w:firstLine="480"/>
        <w:rPr>
          <w:lang w:eastAsia="zh-CN"/>
        </w:rPr>
      </w:pPr>
      <w:r>
        <w:rPr>
          <w:rFonts w:hint="eastAsia"/>
          <w:lang w:eastAsia="zh-CN"/>
        </w:rPr>
        <w:t>易会满强调，必须坚定贯彻落实新发展理念。证券行业要肩负起优化融资结构、激发经济活力、培育创新动能的历史使命，加大服务产业结构转型升级的力度，助力实体经济转型升级。在实现“碳达峰碳中和</w:t>
      </w:r>
      <w:r>
        <w:rPr>
          <w:lang w:eastAsia="zh-CN"/>
        </w:rPr>
        <w:t>30/60目标”过程中，发挥好投资银行的市场和价格导向作用，服务构建低碳绿色循环发展经济体系。提升行业的国际市场竞争力与综合金融服务能力，在资本市场更高水平开放中建立竞争优势。进一步发挥财富管理作用，助力增强广大投资者的获得感，共享经济发展成果。积极履行社会责任，加强投资者保护，确保金融安全和有效防范风险。</w:t>
      </w:r>
    </w:p>
    <w:p w14:paraId="37512DE9" w14:textId="77777777" w:rsidR="004569DD" w:rsidRDefault="004569DD" w:rsidP="004569DD">
      <w:pPr>
        <w:pStyle w:val="a5"/>
        <w:spacing w:before="156" w:after="156"/>
        <w:ind w:firstLine="480"/>
        <w:rPr>
          <w:lang w:eastAsia="zh-CN"/>
        </w:rPr>
      </w:pPr>
      <w:r>
        <w:rPr>
          <w:rFonts w:hint="eastAsia"/>
          <w:lang w:eastAsia="zh-CN"/>
        </w:rPr>
        <w:t>“必须聚焦实体经济提升服务能力。”易会满指出，证券行业要坚持守正创新，以落实金融供给侧结构性改革为主线，加大直接融资支持力度，主动适应发展更多依靠创新、创造、创意的大趋势，围绕实体经济需要优化业务结构、提升服务质量、创新产品工具，突出为经济创新驱动发展和科技自立自强，提供更加多样化的金融工具，助力畅通科技、资本和实体经济的高水平循环。对于重资本业务的发展和创新，要做到看得清、管得住，坚持适度发展。着力聚焦为实体经济和居民财富增长，提供更高质量、更加精准的金融服务。</w:t>
      </w:r>
    </w:p>
    <w:p w14:paraId="7F3F957A" w14:textId="77777777" w:rsidR="004569DD" w:rsidRDefault="004569DD" w:rsidP="004569DD">
      <w:pPr>
        <w:pStyle w:val="a5"/>
        <w:spacing w:before="156" w:after="156"/>
        <w:ind w:firstLine="480"/>
        <w:rPr>
          <w:lang w:eastAsia="zh-CN"/>
        </w:rPr>
      </w:pPr>
      <w:r>
        <w:rPr>
          <w:rFonts w:hint="eastAsia"/>
          <w:lang w:eastAsia="zh-CN"/>
        </w:rPr>
        <w:t>他强调，必须坚持走专业化发展之路。注册制改革是这一轮全面深化资本市场改革的“牛鼻子”工程，是当前和今后一段时期的中心任务，不仅涉及审核重点、方式、分工的优化，还必须建立起对发行人质量、发行定价和时机的市场化约束机制。通过市场化法治化手段促使中介机构归位尽责是其中的关键。为更好发挥投资银行价值发现的作用，行业机构要进一步突出专业能力的核心地位，不断提高专业水平，适应注册制要求，加快从通道化、被动管理向专业化、主动管理转型，切实提升保荐、定价、承销等核心能力。</w:t>
      </w:r>
    </w:p>
    <w:p w14:paraId="212633E4" w14:textId="77777777" w:rsidR="004569DD" w:rsidRDefault="004569DD" w:rsidP="004569DD">
      <w:pPr>
        <w:pStyle w:val="a5"/>
        <w:spacing w:before="156" w:after="156"/>
        <w:ind w:firstLine="480"/>
        <w:rPr>
          <w:lang w:eastAsia="zh-CN"/>
        </w:rPr>
      </w:pPr>
      <w:r>
        <w:rPr>
          <w:rFonts w:hint="eastAsia"/>
          <w:lang w:eastAsia="zh-CN"/>
        </w:rPr>
        <w:t>“必须持续强化风控能力和合规意识。”易会满指出，证券行业必须始终把合规风控摆在更加突出的位置，不仅要健全与自身发展战略相适应的风险管理架构，建立有效的风控前置程序、完备的风险管理系统、强大的风险文化体系，夯实证券公司合规展业、行稳致远的制度基础，还要不断完善与注册制相适应的责任体系，形成发行人质量、发行价格等方面的市场化约束机制，切实加强自身的技术、资本、流动性、声誉等方面的风险管理。</w:t>
      </w:r>
    </w:p>
    <w:p w14:paraId="3B476A03" w14:textId="77777777" w:rsidR="004569DD" w:rsidRDefault="004569DD" w:rsidP="004569DD">
      <w:pPr>
        <w:pStyle w:val="a5"/>
        <w:spacing w:before="156" w:after="156"/>
        <w:ind w:firstLine="480"/>
        <w:rPr>
          <w:lang w:eastAsia="zh-CN"/>
        </w:rPr>
      </w:pPr>
      <w:r>
        <w:rPr>
          <w:rFonts w:hint="eastAsia"/>
          <w:lang w:eastAsia="zh-CN"/>
        </w:rPr>
        <w:t>他还强调，必须切实提升公司治理的有效性。“近年来，行业存在的重市场轻风控、重项目轻准入、重眼前轻长远等问题，以及一些金融机构风险个案暴露，追根溯源，内部人控制‘三会一层’虚设、制衡失效等公司治理方面的缺陷和不足是其中的重要原因。”易会满说，在这方面，行业机构必须高度重视起来，发挥主观能动性，切实把公司治理的落脚点放在端正经营行为、有效防范风险上来，充分发挥党的领导和现代公司治理双重优势，持续健全法人治理结</w:t>
      </w:r>
      <w:r>
        <w:rPr>
          <w:rFonts w:hint="eastAsia"/>
          <w:lang w:eastAsia="zh-CN"/>
        </w:rPr>
        <w:lastRenderedPageBreak/>
        <w:t>构，让有效的公司治理成为基业长青的重要保障。要在前期工作基础上，进一步优化股权结构，厘清股东资质，规范股东行为，做到股东不缺位、不错位、不越位。监管部门将按照“实质重于形式”原则，强化股东穿透管理，加强对实际控制人监管。对各类违法违规行为，坚持全链条问责，发现一起、从严处罚一起，绝不姑息。</w:t>
      </w:r>
    </w:p>
    <w:p w14:paraId="42427667" w14:textId="77777777" w:rsidR="004569DD" w:rsidRDefault="004569DD" w:rsidP="004569DD">
      <w:pPr>
        <w:pStyle w:val="a5"/>
        <w:spacing w:before="156" w:after="156"/>
        <w:ind w:firstLine="480"/>
        <w:rPr>
          <w:lang w:eastAsia="zh-CN"/>
        </w:rPr>
      </w:pPr>
      <w:r>
        <w:rPr>
          <w:rFonts w:hint="eastAsia"/>
          <w:lang w:eastAsia="zh-CN"/>
        </w:rPr>
        <w:t>此外，他强调，必须守正笃实推进证券业文化建设。“行业文化是价值观、风险观、发展观的综合体现，必须坚持正确发展方向，持续积淀和涵养行业生态，防止资本无序扩张。特别是针对社会广泛关注的行业风气和文化中存在的问题，需要加快补齐工匠精神、专业精神、投资者保护意识以及良好职业操守等短板，纠正过度激励、短期激励等不良风气，希望大家切实担负起行业文化建设的主体责任，把文化建设融入公司治理，推动公司文化与发展战略深度融合，努力把文化建设与专业能力建设、人的全面发展、历史文化传承有机结合起来，促使‘合规、诚信、专业、稳健’在全行业内化于心外化于行，久久为功厚植‘忠、专、实’的行业文化底蕴，为资本市场长期稳定健康发展提供价值引领和精神支撑。”</w:t>
      </w:r>
    </w:p>
    <w:p w14:paraId="45D0DF8F" w14:textId="5945A97F" w:rsidR="004569DD" w:rsidRPr="004569DD" w:rsidRDefault="004569DD" w:rsidP="004569DD">
      <w:pPr>
        <w:pStyle w:val="a5"/>
        <w:spacing w:before="156" w:after="156"/>
        <w:ind w:firstLine="482"/>
        <w:rPr>
          <w:b/>
          <w:bCs/>
          <w:lang w:eastAsia="zh-CN"/>
        </w:rPr>
      </w:pPr>
      <w:r w:rsidRPr="004569DD">
        <w:rPr>
          <w:rFonts w:hint="eastAsia"/>
          <w:b/>
          <w:bCs/>
          <w:lang w:eastAsia="zh-CN"/>
        </w:rPr>
        <w:t>持续积淀和涵养高质量发展良性生态</w:t>
      </w:r>
    </w:p>
    <w:p w14:paraId="71D9AF6D" w14:textId="77777777" w:rsidR="004569DD" w:rsidRDefault="004569DD" w:rsidP="004569DD">
      <w:pPr>
        <w:pStyle w:val="a5"/>
        <w:spacing w:before="156" w:after="156"/>
        <w:ind w:firstLine="480"/>
        <w:rPr>
          <w:lang w:eastAsia="zh-CN"/>
        </w:rPr>
      </w:pPr>
      <w:r>
        <w:rPr>
          <w:rFonts w:hint="eastAsia"/>
          <w:lang w:eastAsia="zh-CN"/>
        </w:rPr>
        <w:t>易会满表示，打造一个规范、透明、开放、有活力、有韧性的资本市场，必须始终坚持“建制度、不干预、零容忍”方针，坚持市场化法治化国际化方向，不断提升资本市场治理能力和体系现代化水平。当前，需要进一步处理好行业关切的几方面关系，推动改善发展环境，持续积淀和涵养高质量发展的良性生态。</w:t>
      </w:r>
    </w:p>
    <w:p w14:paraId="781C2E69" w14:textId="77777777" w:rsidR="004569DD" w:rsidRDefault="004569DD" w:rsidP="004569DD">
      <w:pPr>
        <w:pStyle w:val="a5"/>
        <w:spacing w:before="156" w:after="156"/>
        <w:ind w:firstLine="480"/>
        <w:rPr>
          <w:lang w:eastAsia="zh-CN"/>
        </w:rPr>
      </w:pPr>
      <w:r>
        <w:rPr>
          <w:rFonts w:hint="eastAsia"/>
          <w:lang w:eastAsia="zh-CN"/>
        </w:rPr>
        <w:t>谈及放松管制和加强监管的关系时，他指出，一方面，证监会将继续坚持“不干预”理念，大力推进简政放权，注重发挥市场在资源配置中的决定性作用，该由机构自己负责的由机构自主决策，坚持分类监管、差异化监管，扶优限劣，为优质证券公司创新发展打开空间。对于行业在完善基础设施、健全业务功能等方面的呼声，证监会将坚持市场化导向，审慎评估，积极推动。另一方面，监管部门放得开需要建立在行业自己管控到位的基础上，行业机构必须牢守底线、诚信经营，提升自我约束能力，做有担当、有格局、令人尊敬的企业，切实塑造良好形象，为行业创新发展拓展空间。对于不守法经营、破坏市场规则的机构，证监会将坚持“零容忍”态度，严惩不贷，切实净化市场生态。</w:t>
      </w:r>
    </w:p>
    <w:p w14:paraId="242A0D4B" w14:textId="77777777" w:rsidR="004569DD" w:rsidRDefault="004569DD" w:rsidP="004569DD">
      <w:pPr>
        <w:pStyle w:val="a5"/>
        <w:spacing w:before="156" w:after="156"/>
        <w:ind w:firstLine="480"/>
        <w:rPr>
          <w:lang w:eastAsia="zh-CN"/>
        </w:rPr>
      </w:pPr>
      <w:r>
        <w:rPr>
          <w:rFonts w:hint="eastAsia"/>
          <w:lang w:eastAsia="zh-CN"/>
        </w:rPr>
        <w:t>讲到稳健经营与创新发展的关系，他说：“行业必须坚持稳字当头，坚持创新发展与合规风控并重，统筹把握发展与安全的关系，切实做到‘管理有制度、操作有流程、过程能监测、风险可承担’；行业高质量发展必须紧紧围绕服务国家发展战略，围绕服务实体经济和居民财富管理需求，确保创新始终行进在正确的航道上。”</w:t>
      </w:r>
    </w:p>
    <w:p w14:paraId="27DDC46D" w14:textId="77777777" w:rsidR="004569DD" w:rsidRDefault="004569DD" w:rsidP="004569DD">
      <w:pPr>
        <w:pStyle w:val="a5"/>
        <w:spacing w:before="156" w:after="156"/>
        <w:ind w:firstLine="480"/>
        <w:rPr>
          <w:lang w:eastAsia="zh-CN"/>
        </w:rPr>
      </w:pPr>
      <w:r>
        <w:rPr>
          <w:rFonts w:hint="eastAsia"/>
          <w:lang w:eastAsia="zh-CN"/>
        </w:rPr>
        <w:t>谈到压实责任与明确责任边界的关系，他表示，在注册制背景下，中介机构特别是证券公</w:t>
      </w:r>
      <w:r>
        <w:rPr>
          <w:rFonts w:hint="eastAsia"/>
          <w:lang w:eastAsia="zh-CN"/>
        </w:rPr>
        <w:lastRenderedPageBreak/>
        <w:t>司必须深刻认识“看门人”的职责定位，同时服务好融资方和投资方。“发行上市涉及发行人、保荐承销机构、会计师事务所、律师事务所等主体，合理划分彼此责任，也是归位尽责的题中应有之义，证监会将进一步厘清各主体责任边界，努力形成各司其职、各负其责、相互制约的机制。在这方面，协会也可以发挥更大的作用。”</w:t>
      </w:r>
    </w:p>
    <w:p w14:paraId="0BEF1816" w14:textId="77777777" w:rsidR="004569DD" w:rsidRDefault="004569DD" w:rsidP="004569DD">
      <w:pPr>
        <w:pStyle w:val="a5"/>
        <w:spacing w:before="156" w:after="156"/>
        <w:ind w:firstLine="480"/>
        <w:rPr>
          <w:lang w:eastAsia="zh-CN"/>
        </w:rPr>
      </w:pPr>
      <w:r>
        <w:rPr>
          <w:rFonts w:hint="eastAsia"/>
          <w:lang w:eastAsia="zh-CN"/>
        </w:rPr>
        <w:t>对于行政监管与自律管理的关系，易会满认为，行政监管和自律管理是资本市场治理的两种重要方式，二者各司其职、分工协作、相互补位、有效衔接，共同形成行业治理合力。</w:t>
      </w:r>
    </w:p>
    <w:p w14:paraId="1E87793D" w14:textId="45620147" w:rsidR="004569DD" w:rsidRPr="004569DD" w:rsidRDefault="004569DD" w:rsidP="004569DD">
      <w:pPr>
        <w:pStyle w:val="a5"/>
        <w:spacing w:before="156" w:after="156"/>
        <w:ind w:firstLine="482"/>
        <w:rPr>
          <w:b/>
          <w:bCs/>
          <w:lang w:eastAsia="zh-CN"/>
        </w:rPr>
      </w:pPr>
      <w:r w:rsidRPr="004569DD">
        <w:rPr>
          <w:rFonts w:hint="eastAsia"/>
          <w:b/>
          <w:bCs/>
          <w:lang w:eastAsia="zh-CN"/>
        </w:rPr>
        <w:t>严打“伪市值管理”</w:t>
      </w:r>
    </w:p>
    <w:p w14:paraId="7823A7AC" w14:textId="77777777" w:rsidR="004569DD" w:rsidRDefault="004569DD" w:rsidP="004569DD">
      <w:pPr>
        <w:pStyle w:val="a5"/>
        <w:spacing w:before="156" w:after="156"/>
        <w:ind w:firstLine="480"/>
        <w:rPr>
          <w:lang w:eastAsia="zh-CN"/>
        </w:rPr>
      </w:pPr>
      <w:r>
        <w:rPr>
          <w:rFonts w:hint="eastAsia"/>
          <w:lang w:eastAsia="zh-CN"/>
        </w:rPr>
        <w:t>易会满还回应了市场较为关注的“伪市值管理”问题。</w:t>
      </w:r>
    </w:p>
    <w:p w14:paraId="75BFA327" w14:textId="77777777" w:rsidR="004569DD" w:rsidRDefault="004569DD" w:rsidP="004569DD">
      <w:pPr>
        <w:pStyle w:val="a5"/>
        <w:spacing w:before="156" w:after="156"/>
        <w:ind w:firstLine="480"/>
        <w:rPr>
          <w:lang w:eastAsia="zh-CN"/>
        </w:rPr>
      </w:pPr>
      <w:r>
        <w:rPr>
          <w:rFonts w:hint="eastAsia"/>
          <w:lang w:eastAsia="zh-CN"/>
        </w:rPr>
        <w:t>他指出，“伪市值管理”本质是上市公司及实控人与相关机构和个人相互勾结，滥用持股、资金、信息等优势操纵股价，侵害投资者合法权益，扰乱市场秩序，境内外市场均将其作为重点打击对象。对此，证监会始终保持“零容忍”态势，对利益链条上的相关方，无论涉及谁，一经查实，将从严从快从重处理并及时向市场公开。</w:t>
      </w:r>
    </w:p>
    <w:p w14:paraId="2F098E21" w14:textId="45BB04C0" w:rsidR="004569DD" w:rsidRPr="004569DD" w:rsidRDefault="004569DD" w:rsidP="004569DD">
      <w:pPr>
        <w:pStyle w:val="a5"/>
        <w:spacing w:before="156" w:after="156"/>
        <w:ind w:firstLine="480"/>
        <w:rPr>
          <w:lang w:eastAsia="zh-CN"/>
        </w:rPr>
      </w:pPr>
      <w:r>
        <w:rPr>
          <w:rFonts w:hint="eastAsia"/>
          <w:lang w:eastAsia="zh-CN"/>
        </w:rPr>
        <w:t>“这里，也郑重提醒上市公司及实控人、行业机构和从业人员，要敬畏法治，敬畏投资者，远离操纵市场、内幕交易等乱象，珍视自身声誉和职业操守，共同维护公开公平公正的市场秩序。”易会满说。</w:t>
      </w:r>
    </w:p>
    <w:p w14:paraId="19BBD51D" w14:textId="77777777" w:rsidR="00425B93" w:rsidRDefault="008659C3">
      <w:pPr>
        <w:pStyle w:val="1"/>
        <w:spacing w:before="156" w:after="156"/>
      </w:pPr>
      <w:bookmarkStart w:id="30" w:name="_Toc73300079"/>
      <w:r>
        <w:rPr>
          <w:rFonts w:hint="eastAsia"/>
        </w:rPr>
        <w:t>【产业聚焦】</w:t>
      </w:r>
      <w:bookmarkEnd w:id="30"/>
    </w:p>
    <w:p w14:paraId="3D7E8FF2" w14:textId="6D7D0CE9" w:rsidR="00853711" w:rsidRDefault="00853711" w:rsidP="00853711">
      <w:pPr>
        <w:pStyle w:val="2"/>
        <w:spacing w:before="156" w:after="156"/>
      </w:pPr>
      <w:bookmarkStart w:id="31" w:name="_Toc73300080"/>
      <w:r w:rsidRPr="00853711">
        <w:rPr>
          <w:rFonts w:hint="eastAsia"/>
        </w:rPr>
        <w:t>中钢协：全国</w:t>
      </w:r>
      <w:r w:rsidRPr="00853711">
        <w:t>6.2</w:t>
      </w:r>
      <w:r w:rsidRPr="00853711">
        <w:t>亿吨粗钢产能将实现超低排放</w:t>
      </w:r>
      <w:bookmarkEnd w:id="31"/>
    </w:p>
    <w:p w14:paraId="45D826B3" w14:textId="77777777" w:rsidR="00853711" w:rsidRDefault="00853711" w:rsidP="00853711">
      <w:pPr>
        <w:pStyle w:val="a5"/>
        <w:spacing w:before="156" w:after="156"/>
        <w:ind w:firstLine="480"/>
        <w:rPr>
          <w:lang w:eastAsia="zh-CN"/>
        </w:rPr>
      </w:pPr>
      <w:r>
        <w:rPr>
          <w:rFonts w:hint="eastAsia"/>
          <w:lang w:eastAsia="zh-CN"/>
        </w:rPr>
        <w:t>中国钢铁工业协会执行会长何文波在</w:t>
      </w:r>
      <w:r>
        <w:rPr>
          <w:lang w:eastAsia="zh-CN"/>
        </w:rPr>
        <w:t>28日结束的第十一届中国国际钢铁大会上说，截至2021年2月底，全国229家钢铁企业6.2亿吨粗钢产能（重点区域159家约4.5亿吨粗钢产能）已完成或正在实施超低排放改造。重点地区110家钢铁企业（3.5亿吨粗钢产能，占重点区域总产能60%以上）已完成或正在开展评估监测。</w:t>
      </w:r>
    </w:p>
    <w:p w14:paraId="23812A30" w14:textId="77777777" w:rsidR="00853711" w:rsidRDefault="00853711" w:rsidP="00853711">
      <w:pPr>
        <w:pStyle w:val="a5"/>
        <w:spacing w:before="156" w:after="156"/>
        <w:ind w:firstLine="480"/>
        <w:rPr>
          <w:lang w:eastAsia="zh-CN"/>
        </w:rPr>
      </w:pPr>
      <w:r>
        <w:rPr>
          <w:rFonts w:hint="eastAsia"/>
          <w:lang w:eastAsia="zh-CN"/>
        </w:rPr>
        <w:t>“中国钢铁企业为此投入高昂成本。保守估算，中国钢铁行业若全面实现超低排放需投资约</w:t>
      </w:r>
      <w:r>
        <w:rPr>
          <w:lang w:eastAsia="zh-CN"/>
        </w:rPr>
        <w:t>2600亿元，每年增加运行费用500亿元以上。”何文波表示。</w:t>
      </w:r>
    </w:p>
    <w:p w14:paraId="7D31112D" w14:textId="77777777" w:rsidR="00853711" w:rsidRDefault="00853711" w:rsidP="00853711">
      <w:pPr>
        <w:pStyle w:val="a5"/>
        <w:spacing w:before="156" w:after="156"/>
        <w:ind w:firstLine="480"/>
        <w:rPr>
          <w:lang w:eastAsia="zh-CN"/>
        </w:rPr>
      </w:pPr>
      <w:r>
        <w:rPr>
          <w:rFonts w:hint="eastAsia"/>
          <w:lang w:eastAsia="zh-CN"/>
        </w:rPr>
        <w:t>国家统计局数据显示，</w:t>
      </w:r>
      <w:r>
        <w:rPr>
          <w:lang w:eastAsia="zh-CN"/>
        </w:rPr>
        <w:t>2020年中国粗钢产量为10.65亿吨。近年来，中国钢铁行业坚决淘汰落后产能，产能利用率一直保持在较高水平。通过大力推动产业结构调整、能源结构优化、超低排放改造和低碳转型，绿色发展取得显著成效。据中钢协统计，2015年至2020年，重点统计钢铁企业平均吨钢综合能耗削减幅度达到58%，吨钢烟粉尘排放削减幅度为48%。</w:t>
      </w:r>
    </w:p>
    <w:p w14:paraId="14FCA1BB" w14:textId="77777777" w:rsidR="00853711" w:rsidRDefault="00853711" w:rsidP="00853711">
      <w:pPr>
        <w:pStyle w:val="a5"/>
        <w:spacing w:before="156" w:after="156"/>
        <w:ind w:firstLine="480"/>
        <w:rPr>
          <w:lang w:eastAsia="zh-CN"/>
        </w:rPr>
      </w:pPr>
      <w:r>
        <w:rPr>
          <w:rFonts w:hint="eastAsia"/>
          <w:lang w:eastAsia="zh-CN"/>
        </w:rPr>
        <w:t>碳达峰碳中和目标要求下，中国钢铁行业将面临从碳排放强度的“相对约束”到碳排放总</w:t>
      </w:r>
      <w:r>
        <w:rPr>
          <w:rFonts w:hint="eastAsia"/>
          <w:lang w:eastAsia="zh-CN"/>
        </w:rPr>
        <w:lastRenderedPageBreak/>
        <w:t>量的“绝对约束”。中国钢铁工业协会倡议全行业力争在“十四五”期间提前实现碳达峰。中国宝武、河钢集团等率先提出碳达峰碳中和目标，宝武、首钢、河钢、建龙、酒钢、日照等一大批钢铁企业正在积极探索建立氢冶金示范项目并有所突破。</w:t>
      </w:r>
    </w:p>
    <w:p w14:paraId="23CE26B4" w14:textId="77777777" w:rsidR="00853711" w:rsidRDefault="00853711" w:rsidP="00853711">
      <w:pPr>
        <w:pStyle w:val="a5"/>
        <w:spacing w:before="156" w:after="156"/>
        <w:ind w:firstLine="480"/>
        <w:rPr>
          <w:lang w:eastAsia="zh-CN"/>
        </w:rPr>
      </w:pPr>
      <w:r>
        <w:rPr>
          <w:rFonts w:hint="eastAsia"/>
          <w:lang w:eastAsia="zh-CN"/>
        </w:rPr>
        <w:t>今年</w:t>
      </w:r>
      <w:r>
        <w:rPr>
          <w:lang w:eastAsia="zh-CN"/>
        </w:rPr>
        <w:t>4月22日，“钢铁行业低碳工作推进委员会”成立，凝聚全行业之力共同推进钢铁绿色低碳发展的进程。何文波介绍，委员会正在抓紧制定中国钢铁行业碳达峰碳中和实施路线图，在全行业形成共识后将迅速组织实施。</w:t>
      </w:r>
    </w:p>
    <w:p w14:paraId="2D1E665C" w14:textId="05F23DD9" w:rsidR="00853711" w:rsidRPr="00853711" w:rsidRDefault="00853711" w:rsidP="00853711">
      <w:pPr>
        <w:pStyle w:val="a5"/>
        <w:spacing w:before="156" w:after="156"/>
        <w:ind w:firstLine="480"/>
        <w:rPr>
          <w:lang w:eastAsia="zh-CN"/>
        </w:rPr>
      </w:pPr>
      <w:r>
        <w:rPr>
          <w:rFonts w:hint="eastAsia"/>
          <w:lang w:eastAsia="zh-CN"/>
        </w:rPr>
        <w:t>第十一届中国国际钢铁大会于</w:t>
      </w:r>
      <w:r>
        <w:rPr>
          <w:lang w:eastAsia="zh-CN"/>
        </w:rPr>
        <w:t>5月26日至28日在上海举行，由中国钢铁工业协会主办、中国国际贸易促进委员会冶金行业分会和冶金工业国际交流合作中心承办。</w:t>
      </w:r>
    </w:p>
    <w:p w14:paraId="5BBC0CDD" w14:textId="518161F5" w:rsidR="00DA3735" w:rsidRDefault="00C125D4" w:rsidP="00DA3735">
      <w:pPr>
        <w:pStyle w:val="2"/>
        <w:spacing w:before="156" w:after="156"/>
      </w:pPr>
      <w:bookmarkStart w:id="32" w:name="_Toc73300081"/>
      <w:r w:rsidRPr="00C125D4">
        <w:rPr>
          <w:rFonts w:hint="eastAsia"/>
        </w:rPr>
        <w:t>国际航协：</w:t>
      </w:r>
      <w:r w:rsidRPr="00C125D4">
        <w:t>2023</w:t>
      </w:r>
      <w:r w:rsidRPr="00C125D4">
        <w:t>年全球航空客运量有望超过疫情前水平</w:t>
      </w:r>
      <w:bookmarkEnd w:id="32"/>
    </w:p>
    <w:p w14:paraId="1EAA30F5" w14:textId="77777777" w:rsidR="00C125D4" w:rsidRDefault="00C125D4" w:rsidP="00C125D4">
      <w:pPr>
        <w:pStyle w:val="a5"/>
        <w:spacing w:before="156" w:after="156"/>
        <w:ind w:firstLine="480"/>
        <w:rPr>
          <w:lang w:eastAsia="zh-CN"/>
        </w:rPr>
      </w:pPr>
      <w:r>
        <w:rPr>
          <w:rFonts w:hint="eastAsia"/>
          <w:lang w:eastAsia="zh-CN"/>
        </w:rPr>
        <w:t>国际航空运输协会（</w:t>
      </w:r>
      <w:r>
        <w:rPr>
          <w:lang w:eastAsia="zh-CN"/>
        </w:rPr>
        <w:t>IATA）和《旅游经济学》27日发布的后疫情时代旅客需求复苏的长期展望显示，2021年全球航空客运量将恢复至新冠肺炎疫情前的52%，2022年将恢复至疫情前的88%，2023年有望超过疫情前的水平（105%）。</w:t>
      </w:r>
    </w:p>
    <w:p w14:paraId="5E6DA95C" w14:textId="77777777" w:rsidR="00C125D4" w:rsidRDefault="00C125D4" w:rsidP="00C125D4">
      <w:pPr>
        <w:pStyle w:val="a5"/>
        <w:spacing w:before="156" w:after="156"/>
        <w:ind w:firstLine="480"/>
        <w:rPr>
          <w:lang w:eastAsia="zh-CN"/>
        </w:rPr>
      </w:pPr>
      <w:r>
        <w:rPr>
          <w:rFonts w:hint="eastAsia"/>
          <w:lang w:eastAsia="zh-CN"/>
        </w:rPr>
        <w:t>到</w:t>
      </w:r>
      <w:r>
        <w:rPr>
          <w:lang w:eastAsia="zh-CN"/>
        </w:rPr>
        <w:t>2030年，全球航空客运量将增至56亿人次，比疫情前的预测低7%，疫情导致客运量的增长预期晚了2-3年。</w:t>
      </w:r>
    </w:p>
    <w:p w14:paraId="1875FF49" w14:textId="77777777" w:rsidR="00C125D4" w:rsidRDefault="00C125D4" w:rsidP="00C125D4">
      <w:pPr>
        <w:pStyle w:val="a5"/>
        <w:spacing w:before="156" w:after="156"/>
        <w:ind w:firstLine="480"/>
        <w:rPr>
          <w:lang w:eastAsia="zh-CN"/>
        </w:rPr>
      </w:pPr>
      <w:r>
        <w:rPr>
          <w:rFonts w:hint="eastAsia"/>
          <w:lang w:eastAsia="zh-CN"/>
        </w:rPr>
        <w:t>国际航协认为，客运量的恢复略强于客运需求（以收入客公里计算）复苏，客运需求有望在</w:t>
      </w:r>
      <w:r>
        <w:rPr>
          <w:lang w:eastAsia="zh-CN"/>
        </w:rPr>
        <w:t>2019年至2039年之间年均增长3％，主要得益于中国等国内航空市场的繁荣预期，客运量庞大且航程较短。</w:t>
      </w:r>
    </w:p>
    <w:p w14:paraId="0A0EDB46" w14:textId="099862A8" w:rsidR="00C125D4" w:rsidRPr="00C125D4" w:rsidRDefault="00C125D4" w:rsidP="00C125D4">
      <w:pPr>
        <w:pStyle w:val="a5"/>
        <w:spacing w:before="156" w:after="156"/>
        <w:ind w:firstLine="480"/>
        <w:rPr>
          <w:lang w:eastAsia="zh-CN"/>
        </w:rPr>
      </w:pPr>
      <w:r>
        <w:rPr>
          <w:rFonts w:hint="eastAsia"/>
          <w:lang w:eastAsia="zh-CN"/>
        </w:rPr>
        <w:t>国际航协理事长威利·沃尔什表示，我们正处于历史上最深重的危机中。但快速增长的疫苗接种人口和病毒检测的进步，将在未来数月后让飞行重归自由状态。当前的挑战是重新开放边境，免除隔离措施并以数字方式管理疫苗接种</w:t>
      </w:r>
      <w:r>
        <w:rPr>
          <w:lang w:eastAsia="zh-CN"/>
        </w:rPr>
        <w:t>/病毒检测证明。</w:t>
      </w:r>
    </w:p>
    <w:p w14:paraId="19BBD533" w14:textId="77777777" w:rsidR="00425B93" w:rsidRDefault="008659C3">
      <w:pPr>
        <w:pStyle w:val="1"/>
        <w:spacing w:before="156" w:after="156"/>
      </w:pPr>
      <w:bookmarkStart w:id="33" w:name="_Toc73300082"/>
      <w:r>
        <w:rPr>
          <w:rFonts w:hint="eastAsia"/>
        </w:rPr>
        <w:t>【国际财经】</w:t>
      </w:r>
      <w:bookmarkEnd w:id="33"/>
    </w:p>
    <w:p w14:paraId="1E34E575" w14:textId="364DD21A" w:rsidR="00922F1B" w:rsidRDefault="00C125D4" w:rsidP="00922F1B">
      <w:pPr>
        <w:pStyle w:val="2"/>
        <w:spacing w:before="156" w:after="156"/>
      </w:pPr>
      <w:bookmarkStart w:id="34" w:name="_Toc73300083"/>
      <w:r w:rsidRPr="00C125D4">
        <w:rPr>
          <w:rFonts w:hint="eastAsia"/>
        </w:rPr>
        <w:t>美国第一季度经济增长率修正值持平在</w:t>
      </w:r>
      <w:r w:rsidRPr="00C125D4">
        <w:t>6.4%</w:t>
      </w:r>
      <w:bookmarkEnd w:id="34"/>
    </w:p>
    <w:p w14:paraId="59E0B201" w14:textId="77777777" w:rsidR="00C125D4" w:rsidRDefault="00C125D4" w:rsidP="00C125D4">
      <w:pPr>
        <w:pStyle w:val="a5"/>
        <w:spacing w:before="156" w:after="156"/>
        <w:ind w:firstLine="480"/>
        <w:rPr>
          <w:lang w:eastAsia="zh-CN"/>
        </w:rPr>
      </w:pPr>
      <w:r>
        <w:rPr>
          <w:rFonts w:hint="eastAsia"/>
          <w:lang w:eastAsia="zh-CN"/>
        </w:rPr>
        <w:t>美国商务部</w:t>
      </w:r>
      <w:r>
        <w:rPr>
          <w:lang w:eastAsia="zh-CN"/>
        </w:rPr>
        <w:t>27日公布的修正数据显示，今年第一季度美国国内生产总值按年率计算增长6.4%，与初次数据持平。</w:t>
      </w:r>
    </w:p>
    <w:p w14:paraId="1EB1E96E" w14:textId="77777777" w:rsidR="00C125D4" w:rsidRDefault="00C125D4" w:rsidP="00C125D4">
      <w:pPr>
        <w:pStyle w:val="a5"/>
        <w:spacing w:before="156" w:after="156"/>
        <w:ind w:firstLine="480"/>
        <w:rPr>
          <w:lang w:eastAsia="zh-CN"/>
        </w:rPr>
      </w:pPr>
      <w:r>
        <w:rPr>
          <w:rFonts w:hint="eastAsia"/>
          <w:lang w:eastAsia="zh-CN"/>
        </w:rPr>
        <w:t>当天公布的数据显示，今年第一季度美国消费支出和非住宅类固定资产投资较初值有所上调，而出口和私人库存投资则较初值有所下调。其中，占美国经济总量约</w:t>
      </w:r>
      <w:r>
        <w:rPr>
          <w:lang w:eastAsia="zh-CN"/>
        </w:rPr>
        <w:t>70%的个人消费支出增长11.3%，反映企业投资状况的非住宅类固定资产投资增长10.8%；出口则下降2.9%。</w:t>
      </w:r>
    </w:p>
    <w:p w14:paraId="1377DD96" w14:textId="77777777" w:rsidR="00C125D4" w:rsidRDefault="00C125D4" w:rsidP="00C125D4">
      <w:pPr>
        <w:pStyle w:val="a5"/>
        <w:spacing w:before="156" w:after="156"/>
        <w:ind w:firstLine="480"/>
        <w:rPr>
          <w:lang w:eastAsia="zh-CN"/>
        </w:rPr>
      </w:pPr>
      <w:r>
        <w:rPr>
          <w:rFonts w:hint="eastAsia"/>
          <w:lang w:eastAsia="zh-CN"/>
        </w:rPr>
        <w:lastRenderedPageBreak/>
        <w:t>此外，由于推出多项针对新冠疫情的联邦支出计划，联邦政府支出当季大幅攀升</w:t>
      </w:r>
      <w:r>
        <w:rPr>
          <w:lang w:eastAsia="zh-CN"/>
        </w:rPr>
        <w:t>13.9%，与初次数据持平。</w:t>
      </w:r>
    </w:p>
    <w:p w14:paraId="60DACE60" w14:textId="5BE6C301" w:rsidR="00C125D4" w:rsidRPr="00C125D4" w:rsidRDefault="00C125D4" w:rsidP="00C125D4">
      <w:pPr>
        <w:pStyle w:val="a5"/>
        <w:spacing w:before="156" w:after="156"/>
        <w:ind w:firstLine="480"/>
        <w:rPr>
          <w:lang w:eastAsia="zh-CN"/>
        </w:rPr>
      </w:pPr>
      <w:r>
        <w:rPr>
          <w:rFonts w:hint="eastAsia"/>
          <w:lang w:eastAsia="zh-CN"/>
        </w:rPr>
        <w:t>美国商务部通常会根据不断完善的信息对季度经济数据进行三次估算。今年第一季度经济数据终值将于</w:t>
      </w:r>
      <w:r>
        <w:rPr>
          <w:lang w:eastAsia="zh-CN"/>
        </w:rPr>
        <w:t>6月24日公布。</w:t>
      </w:r>
    </w:p>
    <w:p w14:paraId="19BBD53F" w14:textId="1C20F31C" w:rsidR="00AE4724" w:rsidRDefault="00C9593A" w:rsidP="00AE4724">
      <w:pPr>
        <w:pStyle w:val="2"/>
        <w:spacing w:before="156" w:after="156"/>
      </w:pPr>
      <w:bookmarkStart w:id="35" w:name="_Toc73300084"/>
      <w:r w:rsidRPr="00C9593A">
        <w:rPr>
          <w:rFonts w:hint="eastAsia"/>
        </w:rPr>
        <w:t>拜登政府公布美国</w:t>
      </w:r>
      <w:r w:rsidRPr="00C9593A">
        <w:t>2022</w:t>
      </w:r>
      <w:r w:rsidRPr="00C9593A">
        <w:t>财年全面预算方案</w:t>
      </w:r>
      <w:bookmarkEnd w:id="35"/>
    </w:p>
    <w:p w14:paraId="160102C6" w14:textId="77777777" w:rsidR="00C9593A" w:rsidRDefault="00C9593A" w:rsidP="00C9593A">
      <w:pPr>
        <w:pStyle w:val="a5"/>
        <w:spacing w:before="156" w:after="156"/>
        <w:ind w:firstLine="480"/>
        <w:rPr>
          <w:lang w:eastAsia="zh-CN"/>
        </w:rPr>
      </w:pPr>
      <w:r>
        <w:rPr>
          <w:rFonts w:hint="eastAsia"/>
          <w:lang w:eastAsia="zh-CN"/>
        </w:rPr>
        <w:t>美国总统拜登</w:t>
      </w:r>
      <w:r>
        <w:rPr>
          <w:lang w:eastAsia="zh-CN"/>
        </w:rPr>
        <w:t>28日向国会提交2022财年联邦全面预算方案。其中，预算支出总额约为6万亿美元，大部分资金将用于教育、公共卫生、科研及基础设施等领域。</w:t>
      </w:r>
    </w:p>
    <w:p w14:paraId="487A89F6" w14:textId="77777777" w:rsidR="00C9593A" w:rsidRDefault="00C9593A" w:rsidP="00C9593A">
      <w:pPr>
        <w:pStyle w:val="a5"/>
        <w:spacing w:before="156" w:after="156"/>
        <w:ind w:firstLine="480"/>
        <w:rPr>
          <w:lang w:eastAsia="zh-CN"/>
        </w:rPr>
      </w:pPr>
      <w:r>
        <w:rPr>
          <w:rFonts w:hint="eastAsia"/>
          <w:lang w:eastAsia="zh-CN"/>
        </w:rPr>
        <w:t>根据当天公布的预算方案，</w:t>
      </w:r>
      <w:r>
        <w:rPr>
          <w:lang w:eastAsia="zh-CN"/>
        </w:rPr>
        <w:t>2022财年（2021年10月1日至2022年9月30日）联邦预算支出包括总额约1.5万亿美元可支配支出，以及医保、社会安全等领域固定支出，并为拜登政府此前提出的“美国就业计划”和“美国家庭计划”两大支出计划分别提供约840亿美元和约158亿美元资金。</w:t>
      </w:r>
    </w:p>
    <w:p w14:paraId="552F3A0E" w14:textId="77777777" w:rsidR="00C9593A" w:rsidRDefault="00C9593A" w:rsidP="00C9593A">
      <w:pPr>
        <w:pStyle w:val="a5"/>
        <w:spacing w:before="156" w:after="156"/>
        <w:ind w:firstLine="480"/>
        <w:rPr>
          <w:lang w:eastAsia="zh-CN"/>
        </w:rPr>
      </w:pPr>
      <w:r>
        <w:rPr>
          <w:rFonts w:hint="eastAsia"/>
          <w:lang w:eastAsia="zh-CN"/>
        </w:rPr>
        <w:t>预算方案还显示，</w:t>
      </w:r>
      <w:r>
        <w:rPr>
          <w:lang w:eastAsia="zh-CN"/>
        </w:rPr>
        <w:t>2022财年美国联邦预算收入总额约为4.2万亿美元，联邦预算赤字约为1.8万亿美元。</w:t>
      </w:r>
    </w:p>
    <w:p w14:paraId="307BC6B9" w14:textId="77777777" w:rsidR="00C9593A" w:rsidRDefault="00C9593A" w:rsidP="00C9593A">
      <w:pPr>
        <w:pStyle w:val="a5"/>
        <w:spacing w:before="156" w:after="156"/>
        <w:ind w:firstLine="480"/>
        <w:rPr>
          <w:lang w:eastAsia="zh-CN"/>
        </w:rPr>
      </w:pPr>
      <w:r>
        <w:rPr>
          <w:rFonts w:hint="eastAsia"/>
          <w:lang w:eastAsia="zh-CN"/>
        </w:rPr>
        <w:t>预算方案预计，</w:t>
      </w:r>
      <w:r>
        <w:rPr>
          <w:lang w:eastAsia="zh-CN"/>
        </w:rPr>
        <w:t>2022财年至2031财年，美国联邦预算支出将逐年增加，到2031财年将达8.2万亿美元。不过，由于拜登计划向美国最富裕人群加征个人所得税和资本利得税，同时提高企业税最高税率，联邦收入也有望逐年增加。联邦预算赤字或在2031财年降至1.6万亿美元。此前，美国2020财年联邦财政赤字达到创纪录的3.13万亿美元。</w:t>
      </w:r>
    </w:p>
    <w:p w14:paraId="2A45632E" w14:textId="77777777" w:rsidR="00C9593A" w:rsidRDefault="00C9593A" w:rsidP="00C9593A">
      <w:pPr>
        <w:pStyle w:val="a5"/>
        <w:spacing w:before="156" w:after="156"/>
        <w:ind w:firstLine="480"/>
        <w:rPr>
          <w:lang w:eastAsia="zh-CN"/>
        </w:rPr>
      </w:pPr>
      <w:r>
        <w:rPr>
          <w:rFonts w:hint="eastAsia"/>
          <w:lang w:eastAsia="zh-CN"/>
        </w:rPr>
        <w:t>美国财政部当天发表声明说，</w:t>
      </w:r>
      <w:r>
        <w:rPr>
          <w:lang w:eastAsia="zh-CN"/>
        </w:rPr>
        <w:t>2022财年全面预算方案将促进后疫情时期美国经济繁荣，并为增加就业奠定基础。不过，国会共和党人批评说，拜登上台以来接连提出大规模支出计划，不断推高美国经济的通胀风险，国会共和党人将对上述预算方案投反对票。</w:t>
      </w:r>
    </w:p>
    <w:p w14:paraId="3D4603B2" w14:textId="25AC6410" w:rsidR="00C9593A" w:rsidRPr="00C9593A" w:rsidRDefault="00C9593A" w:rsidP="00C9593A">
      <w:pPr>
        <w:pStyle w:val="a5"/>
        <w:spacing w:before="156" w:after="156"/>
        <w:ind w:firstLine="480"/>
        <w:rPr>
          <w:lang w:eastAsia="zh-CN"/>
        </w:rPr>
      </w:pPr>
      <w:r>
        <w:rPr>
          <w:rFonts w:hint="eastAsia"/>
          <w:lang w:eastAsia="zh-CN"/>
        </w:rPr>
        <w:t>美国商务部当天公布的数据显示，</w:t>
      </w:r>
      <w:r>
        <w:rPr>
          <w:lang w:eastAsia="zh-CN"/>
        </w:rPr>
        <w:t>4月美国个人消费支出（PCE）价格指数环比增长0.6%，剔除食品和能源价格后的核心PCE价格指数环比增长0.7%，超出市场普遍预期。该指数被认为是衡量美国通胀水平的关键指标。</w:t>
      </w:r>
    </w:p>
    <w:p w14:paraId="04840151" w14:textId="3570EEE3" w:rsidR="007E7218" w:rsidRDefault="00C9593A" w:rsidP="007E7218">
      <w:pPr>
        <w:pStyle w:val="2"/>
        <w:spacing w:before="156" w:after="156"/>
      </w:pPr>
      <w:bookmarkStart w:id="36" w:name="_Toc73300085"/>
      <w:r w:rsidRPr="00C9593A">
        <w:rPr>
          <w:rFonts w:hint="eastAsia"/>
        </w:rPr>
        <w:t>世贸组织：全球货物贸易正持续恢复</w:t>
      </w:r>
      <w:bookmarkEnd w:id="36"/>
    </w:p>
    <w:p w14:paraId="475C47B3" w14:textId="77777777" w:rsidR="00C9593A" w:rsidRDefault="00C9593A" w:rsidP="00C9593A">
      <w:pPr>
        <w:pStyle w:val="a5"/>
        <w:spacing w:before="156" w:after="156"/>
        <w:ind w:firstLine="480"/>
        <w:rPr>
          <w:lang w:eastAsia="zh-CN"/>
        </w:rPr>
      </w:pPr>
      <w:r>
        <w:rPr>
          <w:rFonts w:hint="eastAsia"/>
          <w:lang w:eastAsia="zh-CN"/>
        </w:rPr>
        <w:t>世界贸易组织</w:t>
      </w:r>
      <w:r>
        <w:rPr>
          <w:lang w:eastAsia="zh-CN"/>
        </w:rPr>
        <w:t>28日发布的数据显示，全球货物贸易自去年第二季度出现短暂深度下滑后，今年将呈现持续恢复态势。</w:t>
      </w:r>
    </w:p>
    <w:p w14:paraId="7ABC8B50" w14:textId="77777777" w:rsidR="00C9593A" w:rsidRDefault="00C9593A" w:rsidP="00C9593A">
      <w:pPr>
        <w:pStyle w:val="a5"/>
        <w:spacing w:before="156" w:after="156"/>
        <w:ind w:firstLine="480"/>
        <w:rPr>
          <w:lang w:eastAsia="zh-CN"/>
        </w:rPr>
      </w:pPr>
      <w:r>
        <w:rPr>
          <w:rFonts w:hint="eastAsia"/>
          <w:lang w:eastAsia="zh-CN"/>
        </w:rPr>
        <w:t>世贸组织发布的最新一期《货物贸易晴雨表》显示，全球货物贸易景气指数高于基准点</w:t>
      </w:r>
      <w:r>
        <w:rPr>
          <w:lang w:eastAsia="zh-CN"/>
        </w:rPr>
        <w:t>100，达到109.7。这意味着全球货物贸易广泛恢复和贸易规模加速扩大。</w:t>
      </w:r>
    </w:p>
    <w:p w14:paraId="6BF70A2D" w14:textId="77777777" w:rsidR="00C9593A" w:rsidRDefault="00C9593A" w:rsidP="00C9593A">
      <w:pPr>
        <w:pStyle w:val="a5"/>
        <w:spacing w:before="156" w:after="156"/>
        <w:ind w:firstLine="480"/>
        <w:rPr>
          <w:lang w:eastAsia="zh-CN"/>
        </w:rPr>
      </w:pPr>
      <w:r>
        <w:rPr>
          <w:rFonts w:hint="eastAsia"/>
          <w:lang w:eastAsia="zh-CN"/>
        </w:rPr>
        <w:lastRenderedPageBreak/>
        <w:t>世贸组织表示，全球贸易趋势与该组织今年</w:t>
      </w:r>
      <w:r>
        <w:rPr>
          <w:lang w:eastAsia="zh-CN"/>
        </w:rPr>
        <w:t>3月的年度贸易预期基本一致。世贸组织当时预计，今明两年全球货物贸易量将分别增长8.0%和4.0%。</w:t>
      </w:r>
    </w:p>
    <w:p w14:paraId="7D566D7B" w14:textId="77777777" w:rsidR="00C9593A" w:rsidRDefault="00C9593A" w:rsidP="00C9593A">
      <w:pPr>
        <w:pStyle w:val="a5"/>
        <w:spacing w:before="156" w:after="156"/>
        <w:ind w:firstLine="480"/>
        <w:rPr>
          <w:lang w:eastAsia="zh-CN"/>
        </w:rPr>
      </w:pPr>
      <w:r>
        <w:rPr>
          <w:rFonts w:hint="eastAsia"/>
          <w:lang w:eastAsia="zh-CN"/>
        </w:rPr>
        <w:t>世贸组织同时指出，尽管短期内贸易前景相对积极，但全球各地区表现并不均衡。从贸易类别上看，服务贸易仍然疲弱。世贸组织警告，目前全球各地区特别是贫穷国家新冠疫苗接种滞后，新冠疫情复燃会破坏贸易恢复进程。</w:t>
      </w:r>
    </w:p>
    <w:p w14:paraId="28BB72CD" w14:textId="77777777" w:rsidR="00C9593A" w:rsidRDefault="00C9593A" w:rsidP="00C9593A">
      <w:pPr>
        <w:pStyle w:val="a5"/>
        <w:spacing w:before="156" w:after="156"/>
        <w:ind w:firstLine="480"/>
        <w:rPr>
          <w:lang w:eastAsia="zh-CN"/>
        </w:rPr>
      </w:pPr>
      <w:r>
        <w:rPr>
          <w:rFonts w:hint="eastAsia"/>
          <w:lang w:eastAsia="zh-CN"/>
        </w:rPr>
        <w:t>根据全球货物贸易景气指数的编制规则，数值</w:t>
      </w:r>
      <w:r>
        <w:rPr>
          <w:lang w:eastAsia="zh-CN"/>
        </w:rPr>
        <w:t>100为其基准点。如果某一次指数为100，意味着全球货物贸易增长符合中期趋势预期。指数大于100表示该季度全球货物贸易增长高于预期水平，反之则显示全球货物贸易增长低于预期水平。</w:t>
      </w:r>
    </w:p>
    <w:p w14:paraId="3051A1A2" w14:textId="5CAD6938" w:rsidR="00C9593A" w:rsidRPr="00C9593A" w:rsidRDefault="00C9593A" w:rsidP="00C9593A">
      <w:pPr>
        <w:pStyle w:val="a5"/>
        <w:spacing w:before="156" w:after="156"/>
        <w:ind w:firstLine="480"/>
        <w:rPr>
          <w:lang w:eastAsia="zh-CN"/>
        </w:rPr>
      </w:pPr>
      <w:r>
        <w:rPr>
          <w:rFonts w:hint="eastAsia"/>
          <w:lang w:eastAsia="zh-CN"/>
        </w:rPr>
        <w:t>世贸组织</w:t>
      </w:r>
      <w:r>
        <w:rPr>
          <w:lang w:eastAsia="zh-CN"/>
        </w:rPr>
        <w:t>2016年7月首次发布全球贸易景气指数，通过采集主要经济体的贸易统计数据，就当前世界贸易的短期发展走向提供早期信号，为贸易政策制定者和工商界提供更为及时的国际贸易信息。</w:t>
      </w:r>
    </w:p>
    <w:p w14:paraId="5EFA44E0" w14:textId="23EE6A83" w:rsidR="00853711" w:rsidRDefault="00853711" w:rsidP="00853711">
      <w:pPr>
        <w:pStyle w:val="2"/>
        <w:spacing w:before="156" w:after="156"/>
      </w:pPr>
      <w:bookmarkStart w:id="37" w:name="_Toc73300086"/>
      <w:r w:rsidRPr="00853711">
        <w:rPr>
          <w:rFonts w:hint="eastAsia"/>
        </w:rPr>
        <w:t>多国央行按兵不动　财政刺激力度未减</w:t>
      </w:r>
      <w:bookmarkEnd w:id="37"/>
    </w:p>
    <w:p w14:paraId="64FCA976" w14:textId="77777777" w:rsidR="00853711" w:rsidRDefault="00853711" w:rsidP="00853711">
      <w:pPr>
        <w:pStyle w:val="a5"/>
        <w:spacing w:before="156" w:after="156"/>
        <w:ind w:firstLine="480"/>
        <w:rPr>
          <w:lang w:eastAsia="zh-CN"/>
        </w:rPr>
      </w:pPr>
      <w:r>
        <w:rPr>
          <w:rFonts w:hint="eastAsia"/>
          <w:lang w:eastAsia="zh-CN"/>
        </w:rPr>
        <w:t>本周，多国央行宣布最新利率决议，韩国、新西兰、印度尼西亚均保持利率不变。多国官方也纷纷表示，当前仍将维持财政政策支持，将耐心等待经济摆脱新冠肺炎疫情影响，之后才会采取紧缩货币政策的措施。</w:t>
      </w:r>
    </w:p>
    <w:p w14:paraId="6B637E95" w14:textId="77777777" w:rsidR="00853711" w:rsidRPr="00853711" w:rsidRDefault="00853711" w:rsidP="00853711">
      <w:pPr>
        <w:pStyle w:val="a5"/>
        <w:spacing w:before="156" w:after="156"/>
        <w:ind w:firstLine="482"/>
        <w:rPr>
          <w:b/>
          <w:bCs/>
          <w:lang w:eastAsia="zh-CN"/>
        </w:rPr>
      </w:pPr>
      <w:r w:rsidRPr="00853711">
        <w:rPr>
          <w:rFonts w:hint="eastAsia"/>
          <w:b/>
          <w:bCs/>
          <w:lang w:eastAsia="zh-CN"/>
        </w:rPr>
        <w:t>亚太多家央行按兵不动</w:t>
      </w:r>
    </w:p>
    <w:p w14:paraId="7A157CDF" w14:textId="77777777" w:rsidR="00853711" w:rsidRDefault="00853711" w:rsidP="00853711">
      <w:pPr>
        <w:pStyle w:val="a5"/>
        <w:spacing w:before="156" w:after="156"/>
        <w:ind w:firstLine="480"/>
        <w:rPr>
          <w:lang w:eastAsia="zh-CN"/>
        </w:rPr>
      </w:pPr>
      <w:r>
        <w:rPr>
          <w:rFonts w:hint="eastAsia"/>
          <w:lang w:eastAsia="zh-CN"/>
        </w:rPr>
        <w:t>亚太地区多国央行本周议息会议宣布按兵不动，没有跟随此前少部分央行采取缩减货币政策的步伐，并表示会耐心等待复苏显现，将逐步缩减刺激规模。</w:t>
      </w:r>
    </w:p>
    <w:p w14:paraId="17728B02" w14:textId="77777777" w:rsidR="00853711" w:rsidRDefault="00853711" w:rsidP="00853711">
      <w:pPr>
        <w:pStyle w:val="a5"/>
        <w:spacing w:before="156" w:after="156"/>
        <w:ind w:firstLine="480"/>
        <w:rPr>
          <w:lang w:eastAsia="zh-CN"/>
        </w:rPr>
      </w:pPr>
      <w:r>
        <w:rPr>
          <w:lang w:eastAsia="zh-CN"/>
        </w:rPr>
        <w:t>27日，韩国央行宣布将利率维持在历史低点的0.5％不变，但表示将更加关注越来越突出的金融失衡问题，其中包括不断增加的家庭债务。另外，韩国央行还上调今年经济增长预期至4%，预计通货膨胀率将达到1.8%，更加接近目标。</w:t>
      </w:r>
    </w:p>
    <w:p w14:paraId="0BEE58F8" w14:textId="77777777" w:rsidR="00853711" w:rsidRDefault="00853711" w:rsidP="00853711">
      <w:pPr>
        <w:pStyle w:val="a5"/>
        <w:spacing w:before="156" w:after="156"/>
        <w:ind w:firstLine="480"/>
        <w:rPr>
          <w:lang w:eastAsia="zh-CN"/>
        </w:rPr>
      </w:pPr>
      <w:r>
        <w:rPr>
          <w:rFonts w:hint="eastAsia"/>
          <w:lang w:eastAsia="zh-CN"/>
        </w:rPr>
        <w:t>韩国央行行长李柱烈曾表示，虽有观点认为国内经济强势复苏，物价上涨幅度有所提高，为控制家庭负债规模、调控楼市应先行加息，但疫情走势、疫苗接种情况等不确定性较大，此时考虑调整货币政策基调为时尚早。</w:t>
      </w:r>
    </w:p>
    <w:p w14:paraId="631751F4" w14:textId="77777777" w:rsidR="00853711" w:rsidRDefault="00853711" w:rsidP="00853711">
      <w:pPr>
        <w:pStyle w:val="a5"/>
        <w:spacing w:before="156" w:after="156"/>
        <w:ind w:firstLine="480"/>
        <w:rPr>
          <w:lang w:eastAsia="zh-CN"/>
        </w:rPr>
      </w:pPr>
      <w:r>
        <w:rPr>
          <w:rFonts w:hint="eastAsia"/>
          <w:lang w:eastAsia="zh-CN"/>
        </w:rPr>
        <w:t>新西兰央行</w:t>
      </w:r>
      <w:r>
        <w:rPr>
          <w:lang w:eastAsia="zh-CN"/>
        </w:rPr>
        <w:t>26日宣布，货币政策委员会将利率维持在0.25%不变，将债券购买计划保持在1000亿新西兰元（约合720亿美元）。</w:t>
      </w:r>
    </w:p>
    <w:p w14:paraId="4A623C60" w14:textId="77777777" w:rsidR="00853711" w:rsidRDefault="00853711" w:rsidP="00853711">
      <w:pPr>
        <w:pStyle w:val="a5"/>
        <w:spacing w:before="156" w:after="156"/>
        <w:ind w:firstLine="480"/>
        <w:rPr>
          <w:lang w:eastAsia="zh-CN"/>
        </w:rPr>
      </w:pPr>
      <w:r>
        <w:rPr>
          <w:rFonts w:hint="eastAsia"/>
          <w:lang w:eastAsia="zh-CN"/>
        </w:rPr>
        <w:t>“委员会指出，按照目前的预测，官方现金利率（</w:t>
      </w:r>
      <w:r>
        <w:rPr>
          <w:lang w:eastAsia="zh-CN"/>
        </w:rPr>
        <w:t>OCR）最终将在中期增加，但也认为这取决于经济前景是否整体如预期般发展，”新西兰央行表示。该央行还指出，实现政策目标“需</w:t>
      </w:r>
      <w:r>
        <w:rPr>
          <w:lang w:eastAsia="zh-CN"/>
        </w:rPr>
        <w:lastRenderedPageBreak/>
        <w:t>要大量的时间和耐心。”</w:t>
      </w:r>
    </w:p>
    <w:p w14:paraId="2E821BC0" w14:textId="77777777" w:rsidR="00853711" w:rsidRDefault="00853711" w:rsidP="00853711">
      <w:pPr>
        <w:pStyle w:val="a5"/>
        <w:spacing w:before="156" w:after="156"/>
        <w:ind w:firstLine="480"/>
        <w:rPr>
          <w:lang w:eastAsia="zh-CN"/>
        </w:rPr>
      </w:pPr>
      <w:r>
        <w:rPr>
          <w:rFonts w:hint="eastAsia"/>
          <w:lang w:eastAsia="zh-CN"/>
        </w:rPr>
        <w:t>但市场将此次央行表态视为政策转向信号，认为新西兰央行在退出宽松的路上将领先于其他全球主要央行。此前市场预计新西兰央行将在</w:t>
      </w:r>
      <w:r>
        <w:rPr>
          <w:lang w:eastAsia="zh-CN"/>
        </w:rPr>
        <w:t>2022年年底前再次降息，而官方现金利率预测显示，货币政策缩紧前景比市场预期的要强烈得多。</w:t>
      </w:r>
    </w:p>
    <w:p w14:paraId="372DC50C" w14:textId="103FC2A1" w:rsidR="00853711" w:rsidRDefault="00853711" w:rsidP="00853711">
      <w:pPr>
        <w:pStyle w:val="a5"/>
        <w:spacing w:before="156" w:after="156"/>
        <w:ind w:firstLine="480"/>
        <w:rPr>
          <w:lang w:eastAsia="zh-CN"/>
        </w:rPr>
      </w:pPr>
      <w:r>
        <w:rPr>
          <w:rFonts w:hint="eastAsia"/>
          <w:lang w:eastAsia="zh-CN"/>
        </w:rPr>
        <w:t>印度尼西亚央行</w:t>
      </w:r>
      <w:r>
        <w:rPr>
          <w:lang w:eastAsia="zh-CN"/>
        </w:rPr>
        <w:t>25日宣布，将7天逆回购利率维持在自2月以来的3.50%</w:t>
      </w:r>
      <w:r>
        <w:rPr>
          <w:rFonts w:hint="eastAsia"/>
          <w:lang w:eastAsia="zh-CN"/>
        </w:rPr>
        <w:t>的水平，并维持隔夜存款准备金率和贷款准备金率分别在</w:t>
      </w:r>
      <w:r>
        <w:rPr>
          <w:lang w:eastAsia="zh-CN"/>
        </w:rPr>
        <w:t>2.75%和4.25%不变。印度尼西亚央行正寻求在经济有初步复苏迹象之时，保持印度尼西亚盾稳定。</w:t>
      </w:r>
    </w:p>
    <w:p w14:paraId="34968F43" w14:textId="77777777" w:rsidR="00853711" w:rsidRDefault="00853711" w:rsidP="00853711">
      <w:pPr>
        <w:pStyle w:val="a5"/>
        <w:spacing w:before="156" w:after="156"/>
        <w:ind w:firstLine="480"/>
        <w:rPr>
          <w:lang w:eastAsia="zh-CN"/>
        </w:rPr>
      </w:pPr>
      <w:r>
        <w:rPr>
          <w:rFonts w:hint="eastAsia"/>
          <w:lang w:eastAsia="zh-CN"/>
        </w:rPr>
        <w:t>自</w:t>
      </w:r>
      <w:r>
        <w:rPr>
          <w:lang w:eastAsia="zh-CN"/>
        </w:rPr>
        <w:t>2020年以来，印度尼西亚央行累计降息150个基点，向金融体系注入了超过550亿美元的流动性，并放宽了贷款规则，以帮助经济从疫情中复苏。</w:t>
      </w:r>
    </w:p>
    <w:p w14:paraId="7773BA81" w14:textId="77777777" w:rsidR="00853711" w:rsidRPr="00853711" w:rsidRDefault="00853711" w:rsidP="00853711">
      <w:pPr>
        <w:pStyle w:val="a5"/>
        <w:spacing w:before="156" w:after="156"/>
        <w:ind w:firstLine="482"/>
        <w:rPr>
          <w:b/>
          <w:bCs/>
          <w:lang w:eastAsia="zh-CN"/>
        </w:rPr>
      </w:pPr>
      <w:r w:rsidRPr="00853711">
        <w:rPr>
          <w:rFonts w:hint="eastAsia"/>
          <w:b/>
          <w:bCs/>
          <w:lang w:eastAsia="zh-CN"/>
        </w:rPr>
        <w:t>缩减购债步伐渐近</w:t>
      </w:r>
    </w:p>
    <w:p w14:paraId="4375BF18" w14:textId="77777777" w:rsidR="00853711" w:rsidRDefault="00853711" w:rsidP="00853711">
      <w:pPr>
        <w:pStyle w:val="a5"/>
        <w:spacing w:before="156" w:after="156"/>
        <w:ind w:firstLine="480"/>
        <w:rPr>
          <w:lang w:eastAsia="zh-CN"/>
        </w:rPr>
      </w:pPr>
      <w:r>
        <w:rPr>
          <w:rFonts w:hint="eastAsia"/>
          <w:lang w:eastAsia="zh-CN"/>
        </w:rPr>
        <w:t>当前，美联储已透露重新评估宽松货币政策的可能，加拿大等部分央行甚至已经开始减少资产购买规模，显示流动性逐步收紧将渐成央行关注话题。</w:t>
      </w:r>
    </w:p>
    <w:p w14:paraId="4786403C" w14:textId="77777777" w:rsidR="00853711" w:rsidRDefault="00853711" w:rsidP="00853711">
      <w:pPr>
        <w:pStyle w:val="a5"/>
        <w:spacing w:before="156" w:after="156"/>
        <w:ind w:firstLine="480"/>
        <w:rPr>
          <w:lang w:eastAsia="zh-CN"/>
        </w:rPr>
      </w:pPr>
      <w:r>
        <w:rPr>
          <w:rFonts w:hint="eastAsia"/>
          <w:lang w:eastAsia="zh-CN"/>
        </w:rPr>
        <w:t>美联储当前每月的资产购买规模为</w:t>
      </w:r>
      <w:r>
        <w:rPr>
          <w:lang w:eastAsia="zh-CN"/>
        </w:rPr>
        <w:t>1200亿美元，帮助拉低借贷成本，鼓励聘雇和投资。</w:t>
      </w:r>
    </w:p>
    <w:p w14:paraId="33BB1001" w14:textId="77777777" w:rsidR="00853711" w:rsidRDefault="00853711" w:rsidP="00853711">
      <w:pPr>
        <w:pStyle w:val="a5"/>
        <w:spacing w:before="156" w:after="156"/>
        <w:ind w:firstLine="480"/>
        <w:rPr>
          <w:lang w:eastAsia="zh-CN"/>
        </w:rPr>
      </w:pPr>
      <w:r>
        <w:rPr>
          <w:rFonts w:hint="eastAsia"/>
          <w:lang w:eastAsia="zh-CN"/>
        </w:rPr>
        <w:t>一些美联储官员近期称，在劳动力市场从疫情冲击中恢复后，未来将讨论缩减购债细节。</w:t>
      </w:r>
    </w:p>
    <w:p w14:paraId="01CB771D" w14:textId="77777777" w:rsidR="00853711" w:rsidRDefault="00853711" w:rsidP="00853711">
      <w:pPr>
        <w:pStyle w:val="a5"/>
        <w:spacing w:before="156" w:after="156"/>
        <w:ind w:firstLine="480"/>
        <w:rPr>
          <w:lang w:eastAsia="zh-CN"/>
        </w:rPr>
      </w:pPr>
      <w:r>
        <w:rPr>
          <w:rFonts w:hint="eastAsia"/>
          <w:lang w:eastAsia="zh-CN"/>
        </w:rPr>
        <w:t>旧金山联邦储备银行总裁戴利</w:t>
      </w:r>
      <w:r>
        <w:rPr>
          <w:lang w:eastAsia="zh-CN"/>
        </w:rPr>
        <w:t>25日对美国消费者新闻与商业频道（CNBC）说：“我们正在谈论缩减购债的问题。”戴利指出，虽然她</w:t>
      </w:r>
    </w:p>
    <w:p w14:paraId="6287D9E8" w14:textId="77777777" w:rsidR="00853711" w:rsidRDefault="00853711" w:rsidP="00853711">
      <w:pPr>
        <w:pStyle w:val="a5"/>
        <w:spacing w:before="156" w:after="156"/>
        <w:ind w:firstLine="480"/>
        <w:rPr>
          <w:lang w:eastAsia="zh-CN"/>
        </w:rPr>
      </w:pPr>
      <w:r>
        <w:rPr>
          <w:rFonts w:hint="eastAsia"/>
          <w:lang w:eastAsia="zh-CN"/>
        </w:rPr>
        <w:t>“乐观看待”减少刺激前景，但经济仍然比疫情前减少了</w:t>
      </w:r>
      <w:r>
        <w:rPr>
          <w:lang w:eastAsia="zh-CN"/>
        </w:rPr>
        <w:t>800多万个工作岗位，而疫情仍未结束。“目前政策非常适当……我们需要保持耐心。”</w:t>
      </w:r>
    </w:p>
    <w:p w14:paraId="1E2E613A" w14:textId="77777777" w:rsidR="00853711" w:rsidRDefault="00853711" w:rsidP="00853711">
      <w:pPr>
        <w:pStyle w:val="a5"/>
        <w:spacing w:before="156" w:after="156"/>
        <w:ind w:firstLine="480"/>
        <w:rPr>
          <w:lang w:eastAsia="zh-CN"/>
        </w:rPr>
      </w:pPr>
      <w:r>
        <w:rPr>
          <w:rFonts w:hint="eastAsia"/>
          <w:lang w:eastAsia="zh-CN"/>
        </w:rPr>
        <w:t>美联储副主席克拉里达</w:t>
      </w:r>
      <w:r>
        <w:rPr>
          <w:lang w:eastAsia="zh-CN"/>
        </w:rPr>
        <w:t>24日也表态称，未来某个时候美联储将谈论缩减刺激措施。克拉里达透露出谈论减表可能会变得合适的暗示，这与一个月前的态度有所不同。当时美联储主席鲍威尔说，连考虑进行这类讨论的时候都还未到。</w:t>
      </w:r>
    </w:p>
    <w:p w14:paraId="6E954038" w14:textId="77777777" w:rsidR="00853711" w:rsidRDefault="00853711" w:rsidP="00853711">
      <w:pPr>
        <w:pStyle w:val="a5"/>
        <w:spacing w:before="156" w:after="156"/>
        <w:ind w:firstLine="480"/>
        <w:rPr>
          <w:lang w:eastAsia="zh-CN"/>
        </w:rPr>
      </w:pPr>
      <w:r>
        <w:rPr>
          <w:rFonts w:hint="eastAsia"/>
          <w:lang w:eastAsia="zh-CN"/>
        </w:rPr>
        <w:t>自</w:t>
      </w:r>
      <w:r>
        <w:rPr>
          <w:lang w:eastAsia="zh-CN"/>
        </w:rPr>
        <w:t>4月会议以来，已有两名地区联邦储备银行总裁公开敦促尽快开始讨论，而其他高层官员则强调，如果目前的一轮物价上涨酝酿成通胀周期，将面临相关风险。不过大多数美联储政策制定者也明确表示，近期通胀上升将是过渡性的，因为它起源于供应和劳动力市场瓶颈，将在一段时间内得到解决。</w:t>
      </w:r>
    </w:p>
    <w:p w14:paraId="5DEA11C0" w14:textId="77777777" w:rsidR="00853711" w:rsidRDefault="00853711" w:rsidP="00853711">
      <w:pPr>
        <w:pStyle w:val="a5"/>
        <w:spacing w:before="156" w:after="156"/>
        <w:ind w:firstLine="480"/>
        <w:rPr>
          <w:lang w:eastAsia="zh-CN"/>
        </w:rPr>
      </w:pPr>
      <w:r>
        <w:rPr>
          <w:rFonts w:hint="eastAsia"/>
          <w:lang w:eastAsia="zh-CN"/>
        </w:rPr>
        <w:t>自上个月以来，加拿大银行已开始缩减其资产购买计划，并暗示明年有可能加息。英国央行本月也放慢了印钞活动。而饱受高通胀困扰的巴西、俄罗斯、土耳其央行已经进入加息轨道。</w:t>
      </w:r>
      <w:r>
        <w:rPr>
          <w:rFonts w:hint="eastAsia"/>
          <w:lang w:eastAsia="zh-CN"/>
        </w:rPr>
        <w:lastRenderedPageBreak/>
        <w:t>在全球流动性充裕推高大宗商品价格的风险下，资源型经济体可能要率先解决通胀激增的压力，紧缩步伐也将持续。</w:t>
      </w:r>
    </w:p>
    <w:p w14:paraId="61250F0B" w14:textId="77777777" w:rsidR="00853711" w:rsidRPr="00853711" w:rsidRDefault="00853711" w:rsidP="00853711">
      <w:pPr>
        <w:pStyle w:val="a5"/>
        <w:spacing w:before="156" w:after="156"/>
        <w:ind w:firstLine="482"/>
        <w:rPr>
          <w:b/>
          <w:bCs/>
          <w:lang w:eastAsia="zh-CN"/>
        </w:rPr>
      </w:pPr>
      <w:r w:rsidRPr="00853711">
        <w:rPr>
          <w:rFonts w:hint="eastAsia"/>
          <w:b/>
          <w:bCs/>
          <w:lang w:eastAsia="zh-CN"/>
        </w:rPr>
        <w:t>财政刺激力度未减</w:t>
      </w:r>
    </w:p>
    <w:p w14:paraId="6BE3B17A" w14:textId="77777777" w:rsidR="00853711" w:rsidRDefault="00853711" w:rsidP="00853711">
      <w:pPr>
        <w:pStyle w:val="a5"/>
        <w:spacing w:before="156" w:after="156"/>
        <w:ind w:firstLine="480"/>
        <w:rPr>
          <w:lang w:eastAsia="zh-CN"/>
        </w:rPr>
      </w:pPr>
      <w:r>
        <w:rPr>
          <w:rFonts w:hint="eastAsia"/>
          <w:lang w:eastAsia="zh-CN"/>
        </w:rPr>
        <w:t>面对疫情带来的持续经济冲击，多国财政政策支持经济复苏的力度依然不减。</w:t>
      </w:r>
    </w:p>
    <w:p w14:paraId="7764D5A6" w14:textId="77777777" w:rsidR="00853711" w:rsidRDefault="00853711" w:rsidP="00853711">
      <w:pPr>
        <w:pStyle w:val="a5"/>
        <w:spacing w:before="156" w:after="156"/>
        <w:ind w:firstLine="480"/>
        <w:rPr>
          <w:lang w:eastAsia="zh-CN"/>
        </w:rPr>
      </w:pPr>
      <w:r>
        <w:rPr>
          <w:rFonts w:hint="eastAsia"/>
          <w:lang w:eastAsia="zh-CN"/>
        </w:rPr>
        <w:t>韩联社文章称，韩国央行上调经济评估一定程度反映了该国</w:t>
      </w:r>
      <w:r>
        <w:rPr>
          <w:lang w:eastAsia="zh-CN"/>
        </w:rPr>
        <w:t>3月底国会通过的补充预算案等财政政策的效果。</w:t>
      </w:r>
    </w:p>
    <w:p w14:paraId="317ACACE" w14:textId="77777777" w:rsidR="00853711" w:rsidRDefault="00853711" w:rsidP="00853711">
      <w:pPr>
        <w:pStyle w:val="a5"/>
        <w:spacing w:before="156" w:after="156"/>
        <w:ind w:firstLine="480"/>
        <w:rPr>
          <w:lang w:eastAsia="zh-CN"/>
        </w:rPr>
      </w:pPr>
      <w:r>
        <w:rPr>
          <w:rFonts w:hint="eastAsia"/>
          <w:lang w:eastAsia="zh-CN"/>
        </w:rPr>
        <w:t>深受疫情冲击的印度经济，也谨慎地再度放松货币政策，而对财政刺激政策依赖程度加深。</w:t>
      </w:r>
    </w:p>
    <w:p w14:paraId="2C67C198" w14:textId="77777777" w:rsidR="00853711" w:rsidRDefault="00853711" w:rsidP="00853711">
      <w:pPr>
        <w:pStyle w:val="a5"/>
        <w:spacing w:before="156" w:after="156"/>
        <w:ind w:firstLine="480"/>
        <w:rPr>
          <w:lang w:eastAsia="zh-CN"/>
        </w:rPr>
      </w:pPr>
      <w:r>
        <w:rPr>
          <w:rFonts w:hint="eastAsia"/>
          <w:lang w:eastAsia="zh-CN"/>
        </w:rPr>
        <w:t>据外媒报道，印度财政部近期正在研究提振旅游业、航空业和酒店业的提案。这些审议目前都在私下进行，还处于早期的讨论阶段，所以还没有宣布。</w:t>
      </w:r>
    </w:p>
    <w:p w14:paraId="32118E37" w14:textId="77777777" w:rsidR="00853711" w:rsidRDefault="00853711" w:rsidP="00853711">
      <w:pPr>
        <w:pStyle w:val="a5"/>
        <w:spacing w:before="156" w:after="156"/>
        <w:ind w:firstLine="480"/>
        <w:rPr>
          <w:lang w:eastAsia="zh-CN"/>
        </w:rPr>
      </w:pPr>
      <w:r>
        <w:rPr>
          <w:rFonts w:hint="eastAsia"/>
          <w:lang w:eastAsia="zh-CN"/>
        </w:rPr>
        <w:t>鉴于财政空间有限，到</w:t>
      </w:r>
      <w:r>
        <w:rPr>
          <w:lang w:eastAsia="zh-CN"/>
        </w:rPr>
        <w:t>2022财年，预算赤字将只占印度国内生产总值的6.8%，低于去年预测的9.5%，印度央行则将集中精力应对这次危机。此外，基准利率已经在挥之不去的通货膨胀压力下保持一年未变。</w:t>
      </w:r>
    </w:p>
    <w:p w14:paraId="496E3384" w14:textId="77777777" w:rsidR="00853711" w:rsidRDefault="00853711" w:rsidP="00853711">
      <w:pPr>
        <w:pStyle w:val="a5"/>
        <w:spacing w:before="156" w:after="156"/>
        <w:ind w:firstLine="480"/>
        <w:rPr>
          <w:lang w:eastAsia="zh-CN"/>
        </w:rPr>
      </w:pPr>
      <w:r>
        <w:rPr>
          <w:rFonts w:hint="eastAsia"/>
          <w:lang w:eastAsia="zh-CN"/>
        </w:rPr>
        <w:t>除此之外，下个月印度央行货币政策委员会很可能保持利率不变，为了保持低借贷成本可能连续在第二个季度扩大量化宽松的规模。</w:t>
      </w:r>
    </w:p>
    <w:p w14:paraId="5C9796BF" w14:textId="77777777" w:rsidR="00853711" w:rsidRDefault="00853711" w:rsidP="00853711">
      <w:pPr>
        <w:pStyle w:val="a5"/>
        <w:spacing w:before="156" w:after="156"/>
        <w:ind w:firstLine="480"/>
        <w:rPr>
          <w:lang w:eastAsia="zh-CN"/>
        </w:rPr>
      </w:pPr>
      <w:r>
        <w:rPr>
          <w:rFonts w:hint="eastAsia"/>
          <w:lang w:eastAsia="zh-CN"/>
        </w:rPr>
        <w:t>澳新银行亚洲研究主管冈恩说：“相比之下，在应对现今的疫情风波时，货币政策并不如财政政策有效。（亚洲国家）财政政策的扩张才是所需的。”</w:t>
      </w:r>
    </w:p>
    <w:p w14:paraId="05A5072E" w14:textId="2A12A465" w:rsidR="00853711" w:rsidRPr="00853711" w:rsidRDefault="00853711" w:rsidP="00853711">
      <w:pPr>
        <w:pStyle w:val="a5"/>
        <w:spacing w:before="156" w:after="156"/>
        <w:ind w:firstLine="480"/>
        <w:rPr>
          <w:lang w:eastAsia="zh-CN"/>
        </w:rPr>
      </w:pPr>
      <w:r>
        <w:rPr>
          <w:rFonts w:hint="eastAsia"/>
          <w:lang w:eastAsia="zh-CN"/>
        </w:rPr>
        <w:t>另外，在美国和欧盟，巨额财政刺激方案也是当前支撑经济复苏的有力抓手，规模和投放仍处于部署加力的轨道上。</w:t>
      </w:r>
    </w:p>
    <w:p w14:paraId="5C35F75F" w14:textId="2166C623" w:rsidR="00853711" w:rsidRDefault="00853711" w:rsidP="00853711">
      <w:pPr>
        <w:pStyle w:val="2"/>
        <w:spacing w:before="156" w:after="156"/>
      </w:pPr>
      <w:bookmarkStart w:id="38" w:name="_Toc73300087"/>
      <w:r w:rsidRPr="00853711">
        <w:rPr>
          <w:rFonts w:hint="eastAsia"/>
        </w:rPr>
        <w:t>英国呼吁七国集团确保全球经济绿色复苏</w:t>
      </w:r>
      <w:bookmarkEnd w:id="38"/>
    </w:p>
    <w:p w14:paraId="24CF5676" w14:textId="77777777" w:rsidR="00853711" w:rsidRDefault="00853711" w:rsidP="00853711">
      <w:pPr>
        <w:pStyle w:val="a5"/>
        <w:spacing w:before="156" w:after="156"/>
        <w:ind w:firstLine="480"/>
        <w:rPr>
          <w:lang w:eastAsia="zh-CN"/>
        </w:rPr>
      </w:pPr>
      <w:r>
        <w:rPr>
          <w:rFonts w:hint="eastAsia"/>
          <w:lang w:eastAsia="zh-CN"/>
        </w:rPr>
        <w:t>英国财政大臣里希·苏纳克</w:t>
      </w:r>
      <w:r>
        <w:rPr>
          <w:lang w:eastAsia="zh-CN"/>
        </w:rPr>
        <w:t>28日呼吁七国集团继续共同努力，确保全球经济实现绿色和可持续复苏。七国集团贸易部长会议同日发表联合公报说，将致力于推动全球贸易从新冠疫情中复苏。</w:t>
      </w:r>
    </w:p>
    <w:p w14:paraId="1E0E9E14" w14:textId="77777777" w:rsidR="00853711" w:rsidRDefault="00853711" w:rsidP="00853711">
      <w:pPr>
        <w:pStyle w:val="a5"/>
        <w:spacing w:before="156" w:after="156"/>
        <w:ind w:firstLine="480"/>
        <w:rPr>
          <w:lang w:eastAsia="zh-CN"/>
        </w:rPr>
      </w:pPr>
      <w:r>
        <w:rPr>
          <w:rFonts w:hint="eastAsia"/>
          <w:lang w:eastAsia="zh-CN"/>
        </w:rPr>
        <w:t>英国是今年七国集团轮值主席国。根据英国财政部网站</w:t>
      </w:r>
      <w:r>
        <w:rPr>
          <w:lang w:eastAsia="zh-CN"/>
        </w:rPr>
        <w:t>28日发表的声明，苏纳克在当天结束的七国集团财长和央行行长视频会议上说，七国集团应确保在经济和金融政策中优先考虑应对气候变化，确保全球金融市场在向净零排放过渡中发挥作用，如改善与气候相关的财务信息披露等。</w:t>
      </w:r>
    </w:p>
    <w:p w14:paraId="0CFB4515" w14:textId="77777777" w:rsidR="00853711" w:rsidRDefault="00853711" w:rsidP="00853711">
      <w:pPr>
        <w:pStyle w:val="a5"/>
        <w:spacing w:before="156" w:after="156"/>
        <w:ind w:firstLine="480"/>
        <w:rPr>
          <w:lang w:eastAsia="zh-CN"/>
        </w:rPr>
      </w:pPr>
      <w:r>
        <w:rPr>
          <w:rFonts w:hint="eastAsia"/>
          <w:lang w:eastAsia="zh-CN"/>
        </w:rPr>
        <w:t>七国集团贸易部长视频会议也于当天结束。各方在会后发表的联合公报中说，将致力于继</w:t>
      </w:r>
      <w:r>
        <w:rPr>
          <w:rFonts w:hint="eastAsia"/>
          <w:lang w:eastAsia="zh-CN"/>
        </w:rPr>
        <w:lastRenderedPageBreak/>
        <w:t>续共同努力，推动全球贸易向前发展，以支持全球从疫情中复苏。各方同意推进贸易和环境、贸易和健康以及数字贸易等关键问题，确保全球贸易成为包容性经济增长的引擎。</w:t>
      </w:r>
    </w:p>
    <w:p w14:paraId="7A7EE5BE" w14:textId="77777777" w:rsidR="00853711" w:rsidRDefault="00853711" w:rsidP="00853711">
      <w:pPr>
        <w:pStyle w:val="a5"/>
        <w:spacing w:before="156" w:after="156"/>
        <w:ind w:firstLine="480"/>
        <w:rPr>
          <w:lang w:eastAsia="zh-CN"/>
        </w:rPr>
      </w:pPr>
      <w:r>
        <w:rPr>
          <w:rFonts w:hint="eastAsia"/>
          <w:lang w:eastAsia="zh-CN"/>
        </w:rPr>
        <w:t>公报说，七国集团希望尽快向世界各地尽可能多的人提供安全有效的新冠疫苗，将优先支持世界贸易组织的工作，以确定扩大全球疫苗生产和分销的解决方案，并支持战略投资，使疫苗生产基地多元化。</w:t>
      </w:r>
    </w:p>
    <w:p w14:paraId="3E660D0C" w14:textId="56933E7A" w:rsidR="00853711" w:rsidRPr="00853711" w:rsidRDefault="00853711" w:rsidP="00853711">
      <w:pPr>
        <w:pStyle w:val="a5"/>
        <w:spacing w:before="156" w:after="156"/>
        <w:ind w:firstLine="480"/>
        <w:rPr>
          <w:lang w:eastAsia="zh-CN"/>
        </w:rPr>
      </w:pPr>
      <w:r>
        <w:rPr>
          <w:rFonts w:hint="eastAsia"/>
          <w:lang w:eastAsia="zh-CN"/>
        </w:rPr>
        <w:t>七国集团包括英国、美国、法国、德国、意大利、加拿大和日本。七国集团领导人峰会将于</w:t>
      </w:r>
      <w:r>
        <w:rPr>
          <w:lang w:eastAsia="zh-CN"/>
        </w:rPr>
        <w:t>6月在英国康沃尔郡举行。</w:t>
      </w:r>
    </w:p>
    <w:p w14:paraId="19BBD547" w14:textId="77777777" w:rsidR="00425B93" w:rsidRDefault="008659C3">
      <w:pPr>
        <w:pStyle w:val="1"/>
        <w:spacing w:before="156" w:after="156"/>
      </w:pPr>
      <w:bookmarkStart w:id="39" w:name="_Toc73300088"/>
      <w:r>
        <w:rPr>
          <w:rFonts w:hint="eastAsia"/>
        </w:rPr>
        <w:t>【中国经济简讯】</w:t>
      </w:r>
      <w:bookmarkEnd w:id="39"/>
    </w:p>
    <w:p w14:paraId="19BBD548" w14:textId="105C7D23" w:rsidR="00425B93" w:rsidRDefault="00BB38A2">
      <w:pPr>
        <w:pStyle w:val="a5"/>
        <w:spacing w:before="156" w:after="156"/>
        <w:ind w:firstLine="482"/>
        <w:rPr>
          <w:b/>
          <w:bCs/>
          <w:lang w:eastAsia="zh-CN"/>
        </w:rPr>
      </w:pPr>
      <w:r>
        <w:rPr>
          <w:b/>
          <w:bCs/>
          <w:lang w:eastAsia="zh-CN"/>
        </w:rPr>
        <w:t>5</w:t>
      </w:r>
      <w:r w:rsidR="008659C3">
        <w:rPr>
          <w:rFonts w:hint="eastAsia"/>
          <w:b/>
          <w:bCs/>
          <w:lang w:eastAsia="zh-CN"/>
        </w:rPr>
        <w:t>月</w:t>
      </w:r>
      <w:r w:rsidR="00230007">
        <w:rPr>
          <w:b/>
          <w:bCs/>
          <w:lang w:eastAsia="zh-CN"/>
        </w:rPr>
        <w:t>24</w:t>
      </w:r>
      <w:r w:rsidR="008659C3">
        <w:rPr>
          <w:rFonts w:hint="eastAsia"/>
          <w:b/>
          <w:bCs/>
          <w:lang w:eastAsia="zh-CN"/>
        </w:rPr>
        <w:t>日</w:t>
      </w:r>
    </w:p>
    <w:p w14:paraId="6BD25F47" w14:textId="43BB63B0" w:rsidR="0077490F" w:rsidRDefault="0077490F" w:rsidP="0077490F">
      <w:pPr>
        <w:pStyle w:val="a5"/>
        <w:spacing w:before="156" w:after="156"/>
        <w:ind w:firstLine="480"/>
        <w:rPr>
          <w:rFonts w:cs="宋体"/>
          <w:color w:val="000000"/>
          <w:lang w:eastAsia="zh-CN"/>
        </w:rPr>
      </w:pPr>
      <w:r w:rsidRPr="0077490F">
        <w:rPr>
          <w:rFonts w:hint="eastAsia"/>
          <w:highlight w:val="lightGray"/>
          <w:lang w:eastAsia="zh-CN"/>
        </w:rPr>
        <w:t>发改委</w:t>
      </w:r>
      <w:r>
        <w:rPr>
          <w:rFonts w:hint="eastAsia"/>
          <w:highlight w:val="lightGray"/>
          <w:lang w:eastAsia="zh-CN"/>
        </w:rPr>
        <w:t>等四部门</w:t>
      </w:r>
      <w:r>
        <w:rPr>
          <w:rFonts w:cs="宋体"/>
          <w:color w:val="000000"/>
          <w:lang w:eastAsia="zh-CN"/>
        </w:rPr>
        <w:t>：</w:t>
      </w:r>
      <w:r w:rsidRPr="0077490F">
        <w:rPr>
          <w:rFonts w:cs="宋体"/>
          <w:color w:val="000000"/>
          <w:lang w:eastAsia="zh-CN"/>
        </w:rPr>
        <w:t>2025年社区、医院等重点区域停车需求基本得到满足</w:t>
      </w:r>
      <w:r>
        <w:rPr>
          <w:rFonts w:cs="宋体"/>
          <w:color w:val="000000"/>
          <w:lang w:eastAsia="zh-CN"/>
        </w:rPr>
        <w:t>。</w:t>
      </w:r>
    </w:p>
    <w:p w14:paraId="62C6BBF7" w14:textId="470A132E" w:rsidR="00F74C07" w:rsidRDefault="00F74C07" w:rsidP="00F74C07">
      <w:pPr>
        <w:pStyle w:val="a5"/>
        <w:spacing w:before="156" w:after="156"/>
        <w:ind w:firstLine="480"/>
        <w:rPr>
          <w:rFonts w:cs="宋体"/>
          <w:color w:val="000000"/>
          <w:lang w:eastAsia="zh-CN"/>
        </w:rPr>
      </w:pPr>
      <w:r>
        <w:rPr>
          <w:rFonts w:hint="eastAsia"/>
          <w:highlight w:val="lightGray"/>
          <w:lang w:eastAsia="zh-CN"/>
        </w:rPr>
        <w:t>财政</w:t>
      </w:r>
      <w:r w:rsidRPr="00F74C07">
        <w:rPr>
          <w:rFonts w:hint="eastAsia"/>
          <w:highlight w:val="lightGray"/>
          <w:lang w:eastAsia="zh-CN"/>
        </w:rPr>
        <w:t>部</w:t>
      </w:r>
      <w:r>
        <w:rPr>
          <w:rFonts w:cs="宋体"/>
          <w:color w:val="000000"/>
          <w:lang w:eastAsia="zh-CN"/>
        </w:rPr>
        <w:t>：</w:t>
      </w:r>
      <w:r w:rsidRPr="00F74C07">
        <w:rPr>
          <w:rFonts w:cs="宋体" w:hint="eastAsia"/>
          <w:color w:val="000000"/>
          <w:lang w:eastAsia="zh-CN"/>
        </w:rPr>
        <w:t>将从四方面抓好常态化财政资金直达机制实施</w:t>
      </w:r>
      <w:r>
        <w:rPr>
          <w:rFonts w:cs="宋体"/>
          <w:color w:val="000000"/>
          <w:lang w:eastAsia="zh-CN"/>
        </w:rPr>
        <w:t>。</w:t>
      </w:r>
    </w:p>
    <w:p w14:paraId="0288B542" w14:textId="6AD6E1AA" w:rsidR="0077490F" w:rsidRDefault="0077490F" w:rsidP="0077490F">
      <w:pPr>
        <w:pStyle w:val="a5"/>
        <w:spacing w:before="156" w:after="156"/>
        <w:ind w:firstLine="480"/>
        <w:rPr>
          <w:rFonts w:cs="宋体"/>
          <w:color w:val="000000"/>
          <w:lang w:eastAsia="zh-CN"/>
        </w:rPr>
      </w:pPr>
      <w:r w:rsidRPr="0077490F">
        <w:rPr>
          <w:rFonts w:hint="eastAsia"/>
          <w:highlight w:val="lightGray"/>
          <w:lang w:eastAsia="zh-CN"/>
        </w:rPr>
        <w:t>发改委</w:t>
      </w:r>
      <w:r>
        <w:rPr>
          <w:rFonts w:cs="宋体"/>
          <w:color w:val="000000"/>
          <w:lang w:eastAsia="zh-CN"/>
        </w:rPr>
        <w:t>：</w:t>
      </w:r>
      <w:r w:rsidRPr="0077490F">
        <w:rPr>
          <w:rFonts w:cs="宋体" w:hint="eastAsia"/>
          <w:color w:val="000000"/>
          <w:lang w:eastAsia="zh-CN"/>
        </w:rPr>
        <w:t>鼓励和支持评价结果优良的主承销商和评级机构积极参与企业债券工作</w:t>
      </w:r>
      <w:r>
        <w:rPr>
          <w:rFonts w:cs="宋体"/>
          <w:color w:val="000000"/>
          <w:lang w:eastAsia="zh-CN"/>
        </w:rPr>
        <w:t>。</w:t>
      </w:r>
    </w:p>
    <w:p w14:paraId="0F52229B" w14:textId="32B2E909" w:rsidR="0077490F" w:rsidRDefault="0077490F" w:rsidP="0077490F">
      <w:pPr>
        <w:pStyle w:val="a5"/>
        <w:spacing w:before="156" w:after="156"/>
        <w:ind w:firstLine="480"/>
        <w:rPr>
          <w:rFonts w:cs="宋体"/>
          <w:color w:val="000000"/>
          <w:lang w:eastAsia="zh-CN"/>
        </w:rPr>
      </w:pPr>
      <w:r w:rsidRPr="0077490F">
        <w:rPr>
          <w:rFonts w:hint="eastAsia"/>
          <w:highlight w:val="lightGray"/>
          <w:lang w:eastAsia="zh-CN"/>
        </w:rPr>
        <w:t>商务部</w:t>
      </w:r>
      <w:r>
        <w:rPr>
          <w:rFonts w:cs="宋体"/>
          <w:color w:val="000000"/>
          <w:lang w:eastAsia="zh-CN"/>
        </w:rPr>
        <w:t>：</w:t>
      </w:r>
      <w:r w:rsidRPr="0077490F">
        <w:rPr>
          <w:rFonts w:cs="宋体" w:hint="eastAsia"/>
          <w:color w:val="000000"/>
          <w:lang w:eastAsia="zh-CN"/>
        </w:rPr>
        <w:t>着力从畅流通促消费、搭平台促开放、优环境促引资、抓机遇促承接等四个方面继续支持中部崛起</w:t>
      </w:r>
      <w:r>
        <w:rPr>
          <w:rFonts w:cs="宋体"/>
          <w:color w:val="000000"/>
          <w:lang w:eastAsia="zh-CN"/>
        </w:rPr>
        <w:t>。</w:t>
      </w:r>
    </w:p>
    <w:p w14:paraId="2B2CB597" w14:textId="4CD1CBDC" w:rsidR="0077490F" w:rsidRDefault="0077490F" w:rsidP="0077490F">
      <w:pPr>
        <w:pStyle w:val="a5"/>
        <w:spacing w:before="156" w:after="156"/>
        <w:ind w:firstLine="480"/>
        <w:rPr>
          <w:rFonts w:cs="宋体"/>
          <w:color w:val="000000"/>
          <w:lang w:eastAsia="zh-CN"/>
        </w:rPr>
      </w:pPr>
      <w:r w:rsidRPr="0077490F">
        <w:rPr>
          <w:rFonts w:hint="eastAsia"/>
          <w:highlight w:val="lightGray"/>
          <w:lang w:eastAsia="zh-CN"/>
        </w:rPr>
        <w:t>工信部</w:t>
      </w:r>
      <w:r>
        <w:rPr>
          <w:rFonts w:cs="宋体"/>
          <w:color w:val="000000"/>
          <w:lang w:eastAsia="zh-CN"/>
        </w:rPr>
        <w:t>：</w:t>
      </w:r>
      <w:r w:rsidRPr="0077490F">
        <w:rPr>
          <w:rFonts w:cs="宋体"/>
          <w:color w:val="000000"/>
          <w:lang w:eastAsia="zh-CN"/>
        </w:rPr>
        <w:t>1-4月规模以上电子信息制造业增加值同比增长24.2%</w:t>
      </w:r>
      <w:r>
        <w:rPr>
          <w:rFonts w:cs="宋体"/>
          <w:color w:val="000000"/>
          <w:lang w:eastAsia="zh-CN"/>
        </w:rPr>
        <w:t>。</w:t>
      </w:r>
    </w:p>
    <w:p w14:paraId="19BBD54F" w14:textId="35DEE509" w:rsidR="00425B93" w:rsidRDefault="00E67A23">
      <w:pPr>
        <w:pStyle w:val="a5"/>
        <w:spacing w:before="156" w:after="156"/>
        <w:ind w:firstLine="482"/>
        <w:rPr>
          <w:b/>
          <w:bCs/>
          <w:lang w:eastAsia="zh-CN"/>
        </w:rPr>
      </w:pPr>
      <w:r>
        <w:rPr>
          <w:b/>
          <w:bCs/>
          <w:lang w:eastAsia="zh-CN"/>
        </w:rPr>
        <w:t>5</w:t>
      </w:r>
      <w:r w:rsidR="008659C3">
        <w:rPr>
          <w:rFonts w:hint="eastAsia"/>
          <w:b/>
          <w:bCs/>
          <w:lang w:eastAsia="zh-CN"/>
        </w:rPr>
        <w:t>月</w:t>
      </w:r>
      <w:r w:rsidR="00905D3B">
        <w:rPr>
          <w:b/>
          <w:bCs/>
          <w:lang w:eastAsia="zh-CN"/>
        </w:rPr>
        <w:t>25</w:t>
      </w:r>
      <w:r w:rsidR="008659C3">
        <w:rPr>
          <w:rFonts w:hint="eastAsia"/>
          <w:b/>
          <w:bCs/>
          <w:lang w:eastAsia="zh-CN"/>
        </w:rPr>
        <w:t>日</w:t>
      </w:r>
    </w:p>
    <w:p w14:paraId="634C77F0" w14:textId="02236C01" w:rsidR="00427537" w:rsidRDefault="00427537" w:rsidP="00427537">
      <w:pPr>
        <w:pStyle w:val="a5"/>
        <w:spacing w:before="156" w:after="156"/>
        <w:ind w:firstLine="480"/>
        <w:rPr>
          <w:rFonts w:cs="宋体"/>
          <w:color w:val="000000"/>
          <w:lang w:eastAsia="zh-CN"/>
        </w:rPr>
      </w:pPr>
      <w:r>
        <w:rPr>
          <w:rFonts w:hint="eastAsia"/>
          <w:highlight w:val="lightGray"/>
          <w:lang w:eastAsia="zh-CN"/>
        </w:rPr>
        <w:t>中央宣传</w:t>
      </w:r>
      <w:r w:rsidRPr="0077490F">
        <w:rPr>
          <w:rFonts w:hint="eastAsia"/>
          <w:highlight w:val="lightGray"/>
          <w:lang w:eastAsia="zh-CN"/>
        </w:rPr>
        <w:t>部</w:t>
      </w:r>
      <w:r>
        <w:rPr>
          <w:rFonts w:hint="eastAsia"/>
          <w:highlight w:val="lightGray"/>
          <w:lang w:eastAsia="zh-CN"/>
        </w:rPr>
        <w:t>等九部门</w:t>
      </w:r>
      <w:r>
        <w:rPr>
          <w:rFonts w:cs="宋体"/>
          <w:color w:val="000000"/>
          <w:lang w:eastAsia="zh-CN"/>
        </w:rPr>
        <w:t>：</w:t>
      </w:r>
      <w:r w:rsidRPr="00427537">
        <w:rPr>
          <w:rFonts w:cs="宋体" w:hint="eastAsia"/>
          <w:color w:val="000000"/>
          <w:lang w:eastAsia="zh-CN"/>
        </w:rPr>
        <w:t>到</w:t>
      </w:r>
      <w:r w:rsidRPr="00427537">
        <w:rPr>
          <w:rFonts w:cs="宋体"/>
          <w:color w:val="000000"/>
          <w:lang w:eastAsia="zh-CN"/>
        </w:rPr>
        <w:t>2035年要基本建成博物馆强国</w:t>
      </w:r>
      <w:r>
        <w:rPr>
          <w:rFonts w:cs="宋体"/>
          <w:color w:val="000000"/>
          <w:lang w:eastAsia="zh-CN"/>
        </w:rPr>
        <w:t>。</w:t>
      </w:r>
    </w:p>
    <w:p w14:paraId="38F019C0" w14:textId="418E878B" w:rsidR="00905D3B" w:rsidRDefault="00905D3B" w:rsidP="00905D3B">
      <w:pPr>
        <w:pStyle w:val="a5"/>
        <w:spacing w:before="156" w:after="156"/>
        <w:ind w:firstLine="480"/>
        <w:rPr>
          <w:rFonts w:cs="宋体"/>
          <w:color w:val="000000"/>
          <w:lang w:eastAsia="zh-CN"/>
        </w:rPr>
      </w:pPr>
      <w:r w:rsidRPr="0077490F">
        <w:rPr>
          <w:rFonts w:hint="eastAsia"/>
          <w:highlight w:val="lightGray"/>
          <w:lang w:eastAsia="zh-CN"/>
        </w:rPr>
        <w:t>发改委</w:t>
      </w:r>
      <w:r>
        <w:rPr>
          <w:rFonts w:hint="eastAsia"/>
          <w:highlight w:val="lightGray"/>
          <w:lang w:eastAsia="zh-CN"/>
        </w:rPr>
        <w:t>、国家林草局</w:t>
      </w:r>
      <w:r>
        <w:rPr>
          <w:rFonts w:cs="宋体"/>
          <w:color w:val="000000"/>
          <w:lang w:eastAsia="zh-CN"/>
        </w:rPr>
        <w:t>：</w:t>
      </w:r>
      <w:r w:rsidRPr="00905D3B">
        <w:rPr>
          <w:rFonts w:cs="宋体" w:hint="eastAsia"/>
          <w:color w:val="000000"/>
          <w:lang w:eastAsia="zh-CN"/>
        </w:rPr>
        <w:t>发布《大小兴安岭林区生态保护与经济转型规划（</w:t>
      </w:r>
      <w:r w:rsidRPr="00905D3B">
        <w:rPr>
          <w:rFonts w:cs="宋体"/>
          <w:color w:val="000000"/>
          <w:lang w:eastAsia="zh-CN"/>
        </w:rPr>
        <w:t>2021-2035年）》</w:t>
      </w:r>
      <w:r>
        <w:rPr>
          <w:rFonts w:cs="宋体"/>
          <w:color w:val="000000"/>
          <w:lang w:eastAsia="zh-CN"/>
        </w:rPr>
        <w:t>。</w:t>
      </w:r>
    </w:p>
    <w:p w14:paraId="440E497A" w14:textId="31A25A7A" w:rsidR="00905D3B" w:rsidRDefault="00905D3B" w:rsidP="00905D3B">
      <w:pPr>
        <w:pStyle w:val="a5"/>
        <w:spacing w:before="156" w:after="156"/>
        <w:ind w:firstLine="480"/>
        <w:rPr>
          <w:rFonts w:cs="宋体"/>
          <w:color w:val="000000"/>
          <w:lang w:eastAsia="zh-CN"/>
        </w:rPr>
      </w:pPr>
      <w:r w:rsidRPr="00905D3B">
        <w:rPr>
          <w:rFonts w:hint="eastAsia"/>
          <w:highlight w:val="lightGray"/>
          <w:lang w:eastAsia="zh-CN"/>
        </w:rPr>
        <w:t>国家</w:t>
      </w:r>
      <w:r>
        <w:rPr>
          <w:rFonts w:hint="eastAsia"/>
          <w:highlight w:val="lightGray"/>
          <w:lang w:eastAsia="zh-CN"/>
        </w:rPr>
        <w:t>知识产权</w:t>
      </w:r>
      <w:r w:rsidRPr="00905D3B">
        <w:rPr>
          <w:rFonts w:hint="eastAsia"/>
          <w:highlight w:val="lightGray"/>
          <w:lang w:eastAsia="zh-CN"/>
        </w:rPr>
        <w:t>局</w:t>
      </w:r>
      <w:r>
        <w:rPr>
          <w:rFonts w:hint="eastAsia"/>
          <w:highlight w:val="lightGray"/>
          <w:lang w:eastAsia="zh-CN"/>
        </w:rPr>
        <w:t>、公安部</w:t>
      </w:r>
      <w:r>
        <w:rPr>
          <w:rFonts w:cs="宋体"/>
          <w:color w:val="000000"/>
          <w:lang w:eastAsia="zh-CN"/>
        </w:rPr>
        <w:t>：</w:t>
      </w:r>
      <w:r w:rsidRPr="00905D3B">
        <w:rPr>
          <w:rFonts w:cs="宋体" w:hint="eastAsia"/>
          <w:color w:val="000000"/>
          <w:lang w:eastAsia="zh-CN"/>
        </w:rPr>
        <w:t>印发《关于加强协作配合强化知识产权保护的意见》</w:t>
      </w:r>
      <w:r>
        <w:rPr>
          <w:rFonts w:cs="宋体"/>
          <w:color w:val="000000"/>
          <w:lang w:eastAsia="zh-CN"/>
        </w:rPr>
        <w:t>。</w:t>
      </w:r>
    </w:p>
    <w:p w14:paraId="0FE02B7F" w14:textId="54EDCA2E" w:rsidR="00905D3B" w:rsidRDefault="00905D3B" w:rsidP="00905D3B">
      <w:pPr>
        <w:pStyle w:val="a5"/>
        <w:spacing w:before="156" w:after="156"/>
        <w:ind w:firstLine="480"/>
        <w:rPr>
          <w:rFonts w:cs="宋体"/>
          <w:color w:val="000000"/>
          <w:lang w:eastAsia="zh-CN"/>
        </w:rPr>
      </w:pPr>
      <w:r>
        <w:rPr>
          <w:rFonts w:hint="eastAsia"/>
          <w:highlight w:val="lightGray"/>
          <w:lang w:eastAsia="zh-CN"/>
        </w:rPr>
        <w:t>水利</w:t>
      </w:r>
      <w:r w:rsidRPr="0077490F">
        <w:rPr>
          <w:rFonts w:hint="eastAsia"/>
          <w:highlight w:val="lightGray"/>
          <w:lang w:eastAsia="zh-CN"/>
        </w:rPr>
        <w:t>部</w:t>
      </w:r>
      <w:r>
        <w:rPr>
          <w:rFonts w:cs="宋体"/>
          <w:color w:val="000000"/>
          <w:lang w:eastAsia="zh-CN"/>
        </w:rPr>
        <w:t>：</w:t>
      </w:r>
      <w:r w:rsidRPr="00905D3B">
        <w:rPr>
          <w:rFonts w:cs="宋体" w:hint="eastAsia"/>
          <w:color w:val="000000"/>
          <w:lang w:eastAsia="zh-CN"/>
        </w:rPr>
        <w:t>加强水利安全生产标准化达标动态管理</w:t>
      </w:r>
      <w:r>
        <w:rPr>
          <w:rFonts w:cs="宋体"/>
          <w:color w:val="000000"/>
          <w:lang w:eastAsia="zh-CN"/>
        </w:rPr>
        <w:t>。</w:t>
      </w:r>
    </w:p>
    <w:p w14:paraId="549958E6" w14:textId="00DDA53D" w:rsidR="00905D3B" w:rsidRDefault="00905D3B" w:rsidP="00905D3B">
      <w:pPr>
        <w:pStyle w:val="a5"/>
        <w:spacing w:before="156" w:after="156"/>
        <w:ind w:firstLine="480"/>
        <w:rPr>
          <w:rFonts w:cs="宋体"/>
          <w:color w:val="000000"/>
          <w:lang w:eastAsia="zh-CN"/>
        </w:rPr>
      </w:pPr>
      <w:r w:rsidRPr="0077490F">
        <w:rPr>
          <w:rFonts w:hint="eastAsia"/>
          <w:highlight w:val="lightGray"/>
          <w:lang w:eastAsia="zh-CN"/>
        </w:rPr>
        <w:t>工信部</w:t>
      </w:r>
      <w:r>
        <w:rPr>
          <w:rFonts w:cs="宋体"/>
          <w:color w:val="000000"/>
          <w:lang w:eastAsia="zh-CN"/>
        </w:rPr>
        <w:t>：</w:t>
      </w:r>
      <w:r w:rsidRPr="00905D3B">
        <w:rPr>
          <w:rFonts w:cs="宋体" w:hint="eastAsia"/>
          <w:color w:val="000000"/>
          <w:lang w:eastAsia="zh-CN"/>
        </w:rPr>
        <w:t>将加快推进工业绿色低碳转型</w:t>
      </w:r>
      <w:r>
        <w:rPr>
          <w:rFonts w:cs="宋体"/>
          <w:color w:val="000000"/>
          <w:lang w:eastAsia="zh-CN"/>
        </w:rPr>
        <w:t>。</w:t>
      </w:r>
    </w:p>
    <w:p w14:paraId="19BBD555" w14:textId="401AC694" w:rsidR="00425B93" w:rsidRDefault="00B21D0A">
      <w:pPr>
        <w:pStyle w:val="a5"/>
        <w:tabs>
          <w:tab w:val="left" w:pos="2657"/>
        </w:tabs>
        <w:spacing w:before="156" w:after="156"/>
        <w:ind w:firstLine="482"/>
        <w:rPr>
          <w:b/>
          <w:bCs/>
          <w:lang w:eastAsia="zh-CN"/>
        </w:rPr>
      </w:pPr>
      <w:r>
        <w:rPr>
          <w:b/>
          <w:bCs/>
          <w:lang w:eastAsia="zh-CN"/>
        </w:rPr>
        <w:t>5</w:t>
      </w:r>
      <w:r w:rsidR="008659C3">
        <w:rPr>
          <w:rFonts w:hint="eastAsia"/>
          <w:b/>
          <w:bCs/>
          <w:lang w:eastAsia="zh-CN"/>
        </w:rPr>
        <w:t>月</w:t>
      </w:r>
      <w:r w:rsidR="00427537">
        <w:rPr>
          <w:b/>
          <w:bCs/>
          <w:lang w:eastAsia="zh-CN"/>
        </w:rPr>
        <w:t>26</w:t>
      </w:r>
      <w:r w:rsidR="008659C3">
        <w:rPr>
          <w:rFonts w:hint="eastAsia"/>
          <w:b/>
          <w:bCs/>
          <w:lang w:eastAsia="zh-CN"/>
        </w:rPr>
        <w:t>日</w:t>
      </w:r>
    </w:p>
    <w:p w14:paraId="73D772FF" w14:textId="6BFDC695" w:rsidR="00F057FC" w:rsidRDefault="00F057FC" w:rsidP="00F057FC">
      <w:pPr>
        <w:pStyle w:val="a5"/>
        <w:spacing w:before="156" w:after="156"/>
        <w:ind w:firstLine="480"/>
        <w:rPr>
          <w:rFonts w:cs="宋体"/>
          <w:color w:val="000000"/>
          <w:lang w:eastAsia="zh-CN"/>
        </w:rPr>
      </w:pPr>
      <w:r>
        <w:rPr>
          <w:rFonts w:hint="eastAsia"/>
          <w:highlight w:val="lightGray"/>
          <w:lang w:eastAsia="zh-CN"/>
        </w:rPr>
        <w:t>国办</w:t>
      </w:r>
      <w:r>
        <w:rPr>
          <w:rFonts w:cs="宋体"/>
          <w:color w:val="000000"/>
          <w:lang w:eastAsia="zh-CN"/>
        </w:rPr>
        <w:t>：</w:t>
      </w:r>
      <w:r w:rsidRPr="00F057FC">
        <w:rPr>
          <w:rFonts w:cs="宋体" w:hint="eastAsia"/>
          <w:color w:val="000000"/>
          <w:lang w:eastAsia="zh-CN"/>
        </w:rPr>
        <w:t>提升危险废物监管和利用处置能力，有效防控危险废物环境与安全风险</w:t>
      </w:r>
      <w:r>
        <w:rPr>
          <w:rFonts w:cs="宋体"/>
          <w:color w:val="000000"/>
          <w:lang w:eastAsia="zh-CN"/>
        </w:rPr>
        <w:t>。</w:t>
      </w:r>
    </w:p>
    <w:p w14:paraId="11F5A9BC" w14:textId="1F36161F" w:rsidR="00F057FC" w:rsidRDefault="00F057FC" w:rsidP="00F057FC">
      <w:pPr>
        <w:pStyle w:val="a5"/>
        <w:spacing w:before="156" w:after="156"/>
        <w:ind w:firstLine="480"/>
        <w:rPr>
          <w:rFonts w:cs="宋体"/>
          <w:color w:val="000000"/>
          <w:lang w:eastAsia="zh-CN"/>
        </w:rPr>
      </w:pPr>
      <w:r w:rsidRPr="00F057FC">
        <w:rPr>
          <w:rFonts w:hint="eastAsia"/>
          <w:highlight w:val="lightGray"/>
          <w:lang w:eastAsia="zh-CN"/>
        </w:rPr>
        <w:t>发改委</w:t>
      </w:r>
      <w:r>
        <w:rPr>
          <w:rFonts w:cs="宋体"/>
          <w:color w:val="000000"/>
          <w:lang w:eastAsia="zh-CN"/>
        </w:rPr>
        <w:t>：</w:t>
      </w:r>
      <w:r w:rsidRPr="00F057FC">
        <w:rPr>
          <w:rFonts w:cs="宋体" w:hint="eastAsia"/>
          <w:color w:val="000000"/>
          <w:lang w:eastAsia="zh-CN"/>
        </w:rPr>
        <w:t>《“十四五”塑料污染治理的行动方案》正在制定中</w:t>
      </w:r>
      <w:r>
        <w:rPr>
          <w:rFonts w:cs="宋体"/>
          <w:color w:val="000000"/>
          <w:lang w:eastAsia="zh-CN"/>
        </w:rPr>
        <w:t>。</w:t>
      </w:r>
    </w:p>
    <w:p w14:paraId="6137D46B" w14:textId="6680BD5B" w:rsidR="00F057FC" w:rsidRDefault="00F057FC" w:rsidP="00F057FC">
      <w:pPr>
        <w:pStyle w:val="a5"/>
        <w:spacing w:before="156" w:after="156"/>
        <w:ind w:firstLine="480"/>
        <w:rPr>
          <w:rFonts w:cs="宋体"/>
          <w:color w:val="000000"/>
          <w:lang w:eastAsia="zh-CN"/>
        </w:rPr>
      </w:pPr>
      <w:r>
        <w:rPr>
          <w:rFonts w:hint="eastAsia"/>
          <w:highlight w:val="lightGray"/>
          <w:lang w:eastAsia="zh-CN"/>
        </w:rPr>
        <w:t>文化和旅游</w:t>
      </w:r>
      <w:r w:rsidRPr="00F057FC">
        <w:rPr>
          <w:rFonts w:hint="eastAsia"/>
          <w:highlight w:val="lightGray"/>
          <w:lang w:eastAsia="zh-CN"/>
        </w:rPr>
        <w:t>部</w:t>
      </w:r>
      <w:r>
        <w:rPr>
          <w:rFonts w:hint="eastAsia"/>
          <w:highlight w:val="lightGray"/>
          <w:lang w:eastAsia="zh-CN"/>
        </w:rPr>
        <w:t>、国家开发银行</w:t>
      </w:r>
      <w:r>
        <w:rPr>
          <w:rFonts w:cs="宋体"/>
          <w:color w:val="000000"/>
          <w:lang w:eastAsia="zh-CN"/>
        </w:rPr>
        <w:t>：</w:t>
      </w:r>
      <w:r w:rsidRPr="00F057FC">
        <w:rPr>
          <w:rFonts w:cs="宋体" w:hint="eastAsia"/>
          <w:color w:val="000000"/>
          <w:lang w:eastAsia="zh-CN"/>
        </w:rPr>
        <w:t>进一步加大开发性金融支持文旅产业</w:t>
      </w:r>
      <w:r>
        <w:rPr>
          <w:rFonts w:cs="宋体"/>
          <w:color w:val="000000"/>
          <w:lang w:eastAsia="zh-CN"/>
        </w:rPr>
        <w:t>。</w:t>
      </w:r>
    </w:p>
    <w:p w14:paraId="6D520906" w14:textId="38CF4B41" w:rsidR="00F057FC" w:rsidRDefault="00F057FC" w:rsidP="00F057FC">
      <w:pPr>
        <w:pStyle w:val="a5"/>
        <w:spacing w:before="156" w:after="156"/>
        <w:ind w:firstLine="480"/>
        <w:rPr>
          <w:rFonts w:cs="宋体"/>
          <w:color w:val="000000"/>
          <w:lang w:eastAsia="zh-CN"/>
        </w:rPr>
      </w:pPr>
      <w:r>
        <w:rPr>
          <w:rFonts w:hint="eastAsia"/>
          <w:highlight w:val="lightGray"/>
          <w:lang w:eastAsia="zh-CN"/>
        </w:rPr>
        <w:lastRenderedPageBreak/>
        <w:t>住建</w:t>
      </w:r>
      <w:r w:rsidRPr="00F057FC">
        <w:rPr>
          <w:rFonts w:hint="eastAsia"/>
          <w:highlight w:val="lightGray"/>
          <w:lang w:eastAsia="zh-CN"/>
        </w:rPr>
        <w:t>部</w:t>
      </w:r>
      <w:r>
        <w:rPr>
          <w:rFonts w:cs="宋体"/>
          <w:color w:val="000000"/>
          <w:lang w:eastAsia="zh-CN"/>
        </w:rPr>
        <w:t>：</w:t>
      </w:r>
      <w:r w:rsidRPr="00F057FC">
        <w:rPr>
          <w:rFonts w:cs="宋体" w:hint="eastAsia"/>
          <w:color w:val="000000"/>
          <w:lang w:eastAsia="zh-CN"/>
        </w:rPr>
        <w:t>发布《农村生活垃圾收运和处理技术标准》，自</w:t>
      </w:r>
      <w:r w:rsidRPr="00F057FC">
        <w:rPr>
          <w:rFonts w:cs="宋体"/>
          <w:color w:val="000000"/>
          <w:lang w:eastAsia="zh-CN"/>
        </w:rPr>
        <w:t>2021年10月1日起实施</w:t>
      </w:r>
      <w:r>
        <w:rPr>
          <w:rFonts w:cs="宋体"/>
          <w:color w:val="000000"/>
          <w:lang w:eastAsia="zh-CN"/>
        </w:rPr>
        <w:t>。</w:t>
      </w:r>
    </w:p>
    <w:p w14:paraId="0D7C316E" w14:textId="68E51A3D" w:rsidR="00F057FC" w:rsidRDefault="00F057FC" w:rsidP="00F057FC">
      <w:pPr>
        <w:pStyle w:val="a5"/>
        <w:spacing w:before="156" w:after="156"/>
        <w:ind w:firstLine="480"/>
        <w:rPr>
          <w:rFonts w:cs="宋体"/>
          <w:color w:val="000000"/>
          <w:lang w:eastAsia="zh-CN"/>
        </w:rPr>
      </w:pPr>
      <w:r w:rsidRPr="0077490F">
        <w:rPr>
          <w:rFonts w:hint="eastAsia"/>
          <w:highlight w:val="lightGray"/>
          <w:lang w:eastAsia="zh-CN"/>
        </w:rPr>
        <w:t>工信部</w:t>
      </w:r>
      <w:r>
        <w:rPr>
          <w:rFonts w:cs="宋体"/>
          <w:color w:val="000000"/>
          <w:lang w:eastAsia="zh-CN"/>
        </w:rPr>
        <w:t>：</w:t>
      </w:r>
      <w:r w:rsidRPr="00F057FC">
        <w:rPr>
          <w:rFonts w:cs="宋体" w:hint="eastAsia"/>
          <w:color w:val="000000"/>
          <w:lang w:eastAsia="zh-CN"/>
        </w:rPr>
        <w:t>钢材价格继续大涨，基本面不支持，政策也不允许</w:t>
      </w:r>
      <w:r>
        <w:rPr>
          <w:rFonts w:cs="宋体"/>
          <w:color w:val="000000"/>
          <w:lang w:eastAsia="zh-CN"/>
        </w:rPr>
        <w:t>。</w:t>
      </w:r>
    </w:p>
    <w:p w14:paraId="1DE269E1" w14:textId="036BD68E" w:rsidR="00F057FC" w:rsidRDefault="00F057FC" w:rsidP="00F057FC">
      <w:pPr>
        <w:pStyle w:val="a5"/>
        <w:spacing w:before="156" w:after="156"/>
        <w:ind w:firstLine="480"/>
        <w:rPr>
          <w:rFonts w:cs="宋体"/>
          <w:color w:val="000000"/>
          <w:lang w:eastAsia="zh-CN"/>
        </w:rPr>
      </w:pPr>
      <w:r>
        <w:rPr>
          <w:rFonts w:hint="eastAsia"/>
          <w:highlight w:val="lightGray"/>
          <w:lang w:eastAsia="zh-CN"/>
        </w:rPr>
        <w:t>农业农村</w:t>
      </w:r>
      <w:r w:rsidRPr="0077490F">
        <w:rPr>
          <w:rFonts w:hint="eastAsia"/>
          <w:highlight w:val="lightGray"/>
          <w:lang w:eastAsia="zh-CN"/>
        </w:rPr>
        <w:t>部</w:t>
      </w:r>
      <w:r>
        <w:rPr>
          <w:rFonts w:hint="eastAsia"/>
          <w:highlight w:val="lightGray"/>
          <w:lang w:eastAsia="zh-CN"/>
        </w:rPr>
        <w:t>、农业银行</w:t>
      </w:r>
      <w:r>
        <w:rPr>
          <w:rFonts w:cs="宋体"/>
          <w:color w:val="000000"/>
          <w:lang w:eastAsia="zh-CN"/>
        </w:rPr>
        <w:t>：</w:t>
      </w:r>
      <w:r w:rsidRPr="00F057FC">
        <w:rPr>
          <w:rFonts w:cs="宋体" w:hint="eastAsia"/>
          <w:color w:val="000000"/>
          <w:lang w:eastAsia="zh-CN"/>
        </w:rPr>
        <w:t>加强金融支持乡村休闲旅游业发展</w:t>
      </w:r>
      <w:r>
        <w:rPr>
          <w:rFonts w:cs="宋体"/>
          <w:color w:val="000000"/>
          <w:lang w:eastAsia="zh-CN"/>
        </w:rPr>
        <w:t>。</w:t>
      </w:r>
    </w:p>
    <w:p w14:paraId="19BBD55B" w14:textId="3D4A48AE" w:rsidR="00425B93" w:rsidRDefault="009623BB">
      <w:pPr>
        <w:pStyle w:val="a5"/>
        <w:spacing w:before="156" w:after="156"/>
        <w:ind w:firstLine="482"/>
        <w:rPr>
          <w:b/>
          <w:bCs/>
          <w:lang w:eastAsia="zh-CN"/>
        </w:rPr>
      </w:pPr>
      <w:r>
        <w:rPr>
          <w:b/>
          <w:bCs/>
          <w:lang w:eastAsia="zh-CN"/>
        </w:rPr>
        <w:t>5</w:t>
      </w:r>
      <w:r w:rsidR="008659C3">
        <w:rPr>
          <w:rFonts w:hint="eastAsia"/>
          <w:b/>
          <w:bCs/>
          <w:lang w:eastAsia="zh-CN"/>
        </w:rPr>
        <w:t>月</w:t>
      </w:r>
      <w:r w:rsidR="00F057FC">
        <w:rPr>
          <w:b/>
          <w:bCs/>
          <w:lang w:eastAsia="zh-CN"/>
        </w:rPr>
        <w:t>27</w:t>
      </w:r>
      <w:r w:rsidR="008659C3">
        <w:rPr>
          <w:rFonts w:hint="eastAsia"/>
          <w:b/>
          <w:bCs/>
          <w:lang w:eastAsia="zh-CN"/>
        </w:rPr>
        <w:t>日</w:t>
      </w:r>
    </w:p>
    <w:p w14:paraId="1BA67C87" w14:textId="67F8C71B" w:rsidR="00F057FC" w:rsidRDefault="00F057FC" w:rsidP="00F057FC">
      <w:pPr>
        <w:pStyle w:val="a5"/>
        <w:spacing w:before="156" w:after="156"/>
        <w:ind w:firstLine="480"/>
        <w:rPr>
          <w:rFonts w:cs="宋体"/>
          <w:color w:val="000000"/>
          <w:lang w:eastAsia="zh-CN"/>
        </w:rPr>
      </w:pPr>
      <w:r>
        <w:rPr>
          <w:rFonts w:hint="eastAsia"/>
          <w:highlight w:val="lightGray"/>
          <w:lang w:eastAsia="zh-CN"/>
        </w:rPr>
        <w:t>财政</w:t>
      </w:r>
      <w:r w:rsidRPr="00F057FC">
        <w:rPr>
          <w:rFonts w:hint="eastAsia"/>
          <w:highlight w:val="lightGray"/>
          <w:lang w:eastAsia="zh-CN"/>
        </w:rPr>
        <w:t>部</w:t>
      </w:r>
      <w:r>
        <w:rPr>
          <w:rFonts w:cs="宋体"/>
          <w:color w:val="000000"/>
          <w:lang w:eastAsia="zh-CN"/>
        </w:rPr>
        <w:t>：</w:t>
      </w:r>
      <w:r w:rsidRPr="00F057FC">
        <w:rPr>
          <w:rFonts w:cs="宋体" w:hint="eastAsia"/>
          <w:color w:val="000000"/>
          <w:lang w:eastAsia="zh-CN"/>
        </w:rPr>
        <w:t>加强行政事业性国有资产基础管理</w:t>
      </w:r>
      <w:r>
        <w:rPr>
          <w:rFonts w:cs="宋体"/>
          <w:color w:val="000000"/>
          <w:lang w:eastAsia="zh-CN"/>
        </w:rPr>
        <w:t>。</w:t>
      </w:r>
    </w:p>
    <w:p w14:paraId="3D8DE80A" w14:textId="320397C3" w:rsidR="00F057FC" w:rsidRDefault="00F057FC" w:rsidP="00F057FC">
      <w:pPr>
        <w:pStyle w:val="a5"/>
        <w:spacing w:before="156" w:after="156"/>
        <w:ind w:firstLine="480"/>
        <w:rPr>
          <w:rFonts w:cs="宋体"/>
          <w:color w:val="000000"/>
          <w:lang w:eastAsia="zh-CN"/>
        </w:rPr>
      </w:pPr>
      <w:r>
        <w:rPr>
          <w:rFonts w:hint="eastAsia"/>
          <w:highlight w:val="lightGray"/>
          <w:lang w:eastAsia="zh-CN"/>
        </w:rPr>
        <w:t>生态环境</w:t>
      </w:r>
      <w:r w:rsidRPr="00F057FC">
        <w:rPr>
          <w:rFonts w:hint="eastAsia"/>
          <w:highlight w:val="lightGray"/>
          <w:lang w:eastAsia="zh-CN"/>
        </w:rPr>
        <w:t>部</w:t>
      </w:r>
      <w:r>
        <w:rPr>
          <w:rFonts w:cs="宋体"/>
          <w:color w:val="000000"/>
          <w:lang w:eastAsia="zh-CN"/>
        </w:rPr>
        <w:t>：</w:t>
      </w:r>
      <w:r w:rsidRPr="00F057FC">
        <w:rPr>
          <w:rFonts w:cs="宋体"/>
          <w:color w:val="000000"/>
          <w:lang w:eastAsia="zh-CN"/>
        </w:rPr>
        <w:t>7月起我国将全面实施重型柴油车国六排放标准</w:t>
      </w:r>
      <w:r>
        <w:rPr>
          <w:rFonts w:cs="宋体"/>
          <w:color w:val="000000"/>
          <w:lang w:eastAsia="zh-CN"/>
        </w:rPr>
        <w:t>。</w:t>
      </w:r>
    </w:p>
    <w:p w14:paraId="2CFD5982" w14:textId="50EA29E8" w:rsidR="00F057FC" w:rsidRDefault="00F057FC" w:rsidP="00F057FC">
      <w:pPr>
        <w:pStyle w:val="a5"/>
        <w:spacing w:before="156" w:after="156"/>
        <w:ind w:firstLine="480"/>
        <w:rPr>
          <w:rFonts w:cs="宋体"/>
          <w:color w:val="000000"/>
          <w:lang w:eastAsia="zh-CN"/>
        </w:rPr>
      </w:pPr>
      <w:r>
        <w:rPr>
          <w:rFonts w:hint="eastAsia"/>
          <w:highlight w:val="lightGray"/>
          <w:lang w:eastAsia="zh-CN"/>
        </w:rPr>
        <w:t>生态环境</w:t>
      </w:r>
      <w:r w:rsidRPr="00F057FC">
        <w:rPr>
          <w:rFonts w:hint="eastAsia"/>
          <w:highlight w:val="lightGray"/>
          <w:lang w:eastAsia="zh-CN"/>
        </w:rPr>
        <w:t>部</w:t>
      </w:r>
      <w:r>
        <w:rPr>
          <w:rFonts w:cs="宋体"/>
          <w:color w:val="000000"/>
          <w:lang w:eastAsia="zh-CN"/>
        </w:rPr>
        <w:t>：</w:t>
      </w:r>
      <w:r w:rsidRPr="00F057FC">
        <w:rPr>
          <w:rFonts w:cs="宋体" w:hint="eastAsia"/>
          <w:color w:val="000000"/>
          <w:lang w:eastAsia="zh-CN"/>
        </w:rPr>
        <w:t>拟于今年</w:t>
      </w:r>
      <w:r w:rsidRPr="00F057FC">
        <w:rPr>
          <w:rFonts w:cs="宋体"/>
          <w:color w:val="000000"/>
          <w:lang w:eastAsia="zh-CN"/>
        </w:rPr>
        <w:t>6月底前启动全国碳市场上线交易</w:t>
      </w:r>
      <w:r>
        <w:rPr>
          <w:rFonts w:cs="宋体"/>
          <w:color w:val="000000"/>
          <w:lang w:eastAsia="zh-CN"/>
        </w:rPr>
        <w:t>。</w:t>
      </w:r>
    </w:p>
    <w:p w14:paraId="751D1D30" w14:textId="032AA011" w:rsidR="00F057FC" w:rsidRDefault="00F057FC" w:rsidP="00F057FC">
      <w:pPr>
        <w:pStyle w:val="a5"/>
        <w:spacing w:before="156" w:after="156"/>
        <w:ind w:firstLine="480"/>
        <w:rPr>
          <w:rFonts w:cs="宋体"/>
          <w:color w:val="000000"/>
          <w:lang w:eastAsia="zh-CN"/>
        </w:rPr>
      </w:pPr>
      <w:r w:rsidRPr="0077490F">
        <w:rPr>
          <w:rFonts w:hint="eastAsia"/>
          <w:highlight w:val="lightGray"/>
          <w:lang w:eastAsia="zh-CN"/>
        </w:rPr>
        <w:t>工信部</w:t>
      </w:r>
      <w:r>
        <w:rPr>
          <w:rFonts w:cs="宋体"/>
          <w:color w:val="000000"/>
          <w:lang w:eastAsia="zh-CN"/>
        </w:rPr>
        <w:t>：</w:t>
      </w:r>
      <w:r w:rsidRPr="00F057FC">
        <w:rPr>
          <w:rFonts w:cs="宋体" w:hint="eastAsia"/>
          <w:color w:val="000000"/>
          <w:lang w:eastAsia="zh-CN"/>
        </w:rPr>
        <w:t>我国建成</w:t>
      </w:r>
      <w:r w:rsidRPr="00F057FC">
        <w:rPr>
          <w:rFonts w:cs="宋体"/>
          <w:color w:val="000000"/>
          <w:lang w:eastAsia="zh-CN"/>
        </w:rPr>
        <w:t>5G基站81.9万个，占全球70%以上</w:t>
      </w:r>
      <w:r>
        <w:rPr>
          <w:rFonts w:cs="宋体"/>
          <w:color w:val="000000"/>
          <w:lang w:eastAsia="zh-CN"/>
        </w:rPr>
        <w:t>。</w:t>
      </w:r>
    </w:p>
    <w:p w14:paraId="083114E1" w14:textId="21D98D04" w:rsidR="00F057FC" w:rsidRDefault="00F057FC" w:rsidP="00F057FC">
      <w:pPr>
        <w:pStyle w:val="a5"/>
        <w:spacing w:before="156" w:after="156"/>
        <w:ind w:firstLine="480"/>
        <w:rPr>
          <w:rFonts w:cs="宋体"/>
          <w:color w:val="000000"/>
          <w:lang w:eastAsia="zh-CN"/>
        </w:rPr>
      </w:pPr>
      <w:r>
        <w:rPr>
          <w:rFonts w:hint="eastAsia"/>
          <w:highlight w:val="lightGray"/>
          <w:lang w:eastAsia="zh-CN"/>
        </w:rPr>
        <w:t>国家能源局</w:t>
      </w:r>
      <w:r>
        <w:rPr>
          <w:rFonts w:cs="宋体"/>
          <w:color w:val="000000"/>
          <w:lang w:eastAsia="zh-CN"/>
        </w:rPr>
        <w:t>：</w:t>
      </w:r>
      <w:r w:rsidRPr="00F057FC">
        <w:rPr>
          <w:rFonts w:cs="宋体" w:hint="eastAsia"/>
          <w:color w:val="000000"/>
          <w:lang w:eastAsia="zh-CN"/>
        </w:rPr>
        <w:t>我国海上风电并网容量突破千万千瓦</w:t>
      </w:r>
      <w:r>
        <w:rPr>
          <w:rFonts w:cs="宋体"/>
          <w:color w:val="000000"/>
          <w:lang w:eastAsia="zh-CN"/>
        </w:rPr>
        <w:t>。</w:t>
      </w:r>
    </w:p>
    <w:p w14:paraId="19BBD561" w14:textId="3EAD97E3" w:rsidR="00791EA6" w:rsidRDefault="00877EAA" w:rsidP="00791EA6">
      <w:pPr>
        <w:pStyle w:val="a5"/>
        <w:spacing w:before="156" w:after="156"/>
        <w:ind w:firstLine="482"/>
        <w:rPr>
          <w:b/>
          <w:bCs/>
          <w:lang w:eastAsia="zh-CN"/>
        </w:rPr>
      </w:pPr>
      <w:r>
        <w:rPr>
          <w:b/>
          <w:bCs/>
          <w:lang w:eastAsia="zh-CN"/>
        </w:rPr>
        <w:t>5</w:t>
      </w:r>
      <w:r w:rsidR="00791EA6">
        <w:rPr>
          <w:rFonts w:hint="eastAsia"/>
          <w:b/>
          <w:bCs/>
          <w:lang w:eastAsia="zh-CN"/>
        </w:rPr>
        <w:t>月</w:t>
      </w:r>
      <w:r w:rsidR="00F057FC">
        <w:rPr>
          <w:b/>
          <w:bCs/>
          <w:lang w:eastAsia="zh-CN"/>
        </w:rPr>
        <w:t>28</w:t>
      </w:r>
      <w:r w:rsidR="00791EA6">
        <w:rPr>
          <w:rFonts w:hint="eastAsia"/>
          <w:b/>
          <w:bCs/>
          <w:lang w:eastAsia="zh-CN"/>
        </w:rPr>
        <w:t>日</w:t>
      </w:r>
    </w:p>
    <w:p w14:paraId="665CD388" w14:textId="0A58EC1B" w:rsidR="00F057FC" w:rsidRDefault="00F057FC" w:rsidP="00F057FC">
      <w:pPr>
        <w:pStyle w:val="a5"/>
        <w:spacing w:before="156" w:after="156"/>
        <w:ind w:firstLine="480"/>
        <w:rPr>
          <w:rFonts w:cs="宋体"/>
          <w:color w:val="000000"/>
          <w:lang w:eastAsia="zh-CN"/>
        </w:rPr>
      </w:pPr>
      <w:r w:rsidRPr="00F057FC">
        <w:rPr>
          <w:rFonts w:hint="eastAsia"/>
          <w:highlight w:val="lightGray"/>
          <w:lang w:eastAsia="zh-CN"/>
        </w:rPr>
        <w:t>商务部</w:t>
      </w:r>
      <w:r>
        <w:rPr>
          <w:rFonts w:cs="宋体"/>
          <w:color w:val="000000"/>
          <w:lang w:eastAsia="zh-CN"/>
        </w:rPr>
        <w:t>：</w:t>
      </w:r>
      <w:r w:rsidRPr="00F057FC">
        <w:rPr>
          <w:rFonts w:cs="宋体" w:hint="eastAsia"/>
          <w:color w:val="000000"/>
          <w:lang w:eastAsia="zh-CN"/>
        </w:rPr>
        <w:t>中美应共同努力推动第一阶段经贸协议落实</w:t>
      </w:r>
      <w:r>
        <w:rPr>
          <w:rFonts w:cs="宋体"/>
          <w:color w:val="000000"/>
          <w:lang w:eastAsia="zh-CN"/>
        </w:rPr>
        <w:t>。</w:t>
      </w:r>
    </w:p>
    <w:p w14:paraId="44B746A9" w14:textId="314E2369" w:rsidR="00F057FC" w:rsidRDefault="00F057FC" w:rsidP="00F057FC">
      <w:pPr>
        <w:pStyle w:val="a5"/>
        <w:spacing w:before="156" w:after="156"/>
        <w:ind w:firstLine="480"/>
        <w:rPr>
          <w:rFonts w:cs="宋体"/>
          <w:color w:val="000000"/>
          <w:lang w:eastAsia="zh-CN"/>
        </w:rPr>
      </w:pPr>
      <w:r w:rsidRPr="00F057FC">
        <w:rPr>
          <w:rFonts w:hint="eastAsia"/>
          <w:highlight w:val="lightGray"/>
          <w:lang w:eastAsia="zh-CN"/>
        </w:rPr>
        <w:t>商务部</w:t>
      </w:r>
      <w:r>
        <w:rPr>
          <w:rFonts w:cs="宋体"/>
          <w:color w:val="000000"/>
          <w:lang w:eastAsia="zh-CN"/>
        </w:rPr>
        <w:t>：</w:t>
      </w:r>
      <w:r w:rsidRPr="00F057FC">
        <w:rPr>
          <w:rFonts w:cs="宋体" w:hint="eastAsia"/>
          <w:color w:val="000000"/>
          <w:lang w:eastAsia="zh-CN"/>
        </w:rPr>
        <w:t>当前中欧贸易持续增长，双向投资稳中有升</w:t>
      </w:r>
      <w:r>
        <w:rPr>
          <w:rFonts w:cs="宋体"/>
          <w:color w:val="000000"/>
          <w:lang w:eastAsia="zh-CN"/>
        </w:rPr>
        <w:t>。</w:t>
      </w:r>
    </w:p>
    <w:p w14:paraId="3644ECD3" w14:textId="1CB0DEF4" w:rsidR="00F057FC" w:rsidRDefault="00F057FC" w:rsidP="00F057FC">
      <w:pPr>
        <w:pStyle w:val="a5"/>
        <w:spacing w:before="156" w:after="156"/>
        <w:ind w:firstLine="480"/>
        <w:rPr>
          <w:rFonts w:cs="宋体"/>
          <w:color w:val="000000"/>
          <w:lang w:eastAsia="zh-CN"/>
        </w:rPr>
      </w:pPr>
      <w:r>
        <w:rPr>
          <w:rFonts w:hint="eastAsia"/>
          <w:highlight w:val="lightGray"/>
          <w:lang w:eastAsia="zh-CN"/>
        </w:rPr>
        <w:t>市场监管总</w:t>
      </w:r>
      <w:r>
        <w:rPr>
          <w:rFonts w:hint="eastAsia"/>
          <w:highlight w:val="lightGray"/>
          <w:lang w:eastAsia="zh-CN"/>
        </w:rPr>
        <w:t>局</w:t>
      </w:r>
      <w:r>
        <w:rPr>
          <w:rFonts w:cs="宋体"/>
          <w:color w:val="000000"/>
          <w:lang w:eastAsia="zh-CN"/>
        </w:rPr>
        <w:t>：</w:t>
      </w:r>
      <w:r w:rsidRPr="00F057FC">
        <w:rPr>
          <w:rFonts w:cs="宋体" w:hint="eastAsia"/>
          <w:color w:val="000000"/>
          <w:lang w:eastAsia="zh-CN"/>
        </w:rPr>
        <w:t>推动质量基础设施“一站式”服务进百城入万企，助力中小企业提质增效</w:t>
      </w:r>
      <w:r>
        <w:rPr>
          <w:rFonts w:cs="宋体"/>
          <w:color w:val="000000"/>
          <w:lang w:eastAsia="zh-CN"/>
        </w:rPr>
        <w:t>。</w:t>
      </w:r>
    </w:p>
    <w:p w14:paraId="0937EE0C" w14:textId="1C25B657" w:rsidR="00F057FC" w:rsidRDefault="00F057FC" w:rsidP="00F057FC">
      <w:pPr>
        <w:pStyle w:val="a5"/>
        <w:spacing w:before="156" w:after="156"/>
        <w:ind w:firstLine="480"/>
        <w:rPr>
          <w:rFonts w:cs="宋体"/>
          <w:color w:val="000000"/>
          <w:lang w:eastAsia="zh-CN"/>
        </w:rPr>
      </w:pPr>
      <w:r>
        <w:rPr>
          <w:rFonts w:hint="eastAsia"/>
          <w:highlight w:val="lightGray"/>
          <w:lang w:eastAsia="zh-CN"/>
        </w:rPr>
        <w:t>交通运输</w:t>
      </w:r>
      <w:r w:rsidRPr="00F057FC">
        <w:rPr>
          <w:rFonts w:hint="eastAsia"/>
          <w:highlight w:val="lightGray"/>
          <w:lang w:eastAsia="zh-CN"/>
        </w:rPr>
        <w:t>部</w:t>
      </w:r>
      <w:r>
        <w:rPr>
          <w:rFonts w:cs="宋体"/>
          <w:color w:val="000000"/>
          <w:lang w:eastAsia="zh-CN"/>
        </w:rPr>
        <w:t>：</w:t>
      </w:r>
      <w:r w:rsidRPr="00F057FC">
        <w:rPr>
          <w:rFonts w:cs="宋体"/>
          <w:color w:val="000000"/>
          <w:lang w:eastAsia="zh-CN"/>
        </w:rPr>
        <w:t>4月份交通运输经济延续平稳运行的态势</w:t>
      </w:r>
      <w:r>
        <w:rPr>
          <w:rFonts w:cs="宋体"/>
          <w:color w:val="000000"/>
          <w:lang w:eastAsia="zh-CN"/>
        </w:rPr>
        <w:t>。</w:t>
      </w:r>
    </w:p>
    <w:p w14:paraId="18ACD09D" w14:textId="75AC0409" w:rsidR="00BC66DB" w:rsidRDefault="00BC66DB" w:rsidP="00BC66DB">
      <w:pPr>
        <w:pStyle w:val="a5"/>
        <w:spacing w:before="156" w:after="156"/>
        <w:ind w:firstLine="480"/>
        <w:rPr>
          <w:rFonts w:cs="宋体"/>
          <w:color w:val="000000"/>
          <w:lang w:eastAsia="zh-CN"/>
        </w:rPr>
      </w:pPr>
      <w:r>
        <w:rPr>
          <w:rFonts w:hint="eastAsia"/>
          <w:highlight w:val="lightGray"/>
          <w:lang w:eastAsia="zh-CN"/>
        </w:rPr>
        <w:t>国家能源局</w:t>
      </w:r>
      <w:r>
        <w:rPr>
          <w:rFonts w:cs="宋体"/>
          <w:color w:val="000000"/>
          <w:lang w:eastAsia="zh-CN"/>
        </w:rPr>
        <w:t>：</w:t>
      </w:r>
      <w:r w:rsidRPr="00BC66DB">
        <w:rPr>
          <w:rFonts w:cs="宋体" w:hint="eastAsia"/>
          <w:color w:val="000000"/>
          <w:lang w:eastAsia="zh-CN"/>
        </w:rPr>
        <w:t>正研究光伏发电行业管理和价格等相关政策</w:t>
      </w:r>
      <w:r>
        <w:rPr>
          <w:rFonts w:cs="宋体"/>
          <w:color w:val="000000"/>
          <w:lang w:eastAsia="zh-CN"/>
        </w:rPr>
        <w:t>。</w:t>
      </w:r>
    </w:p>
    <w:p w14:paraId="19BBD566" w14:textId="77777777" w:rsidR="00425B93" w:rsidRDefault="008659C3">
      <w:pPr>
        <w:pStyle w:val="1"/>
        <w:spacing w:before="156" w:after="156"/>
      </w:pPr>
      <w:bookmarkStart w:id="40" w:name="_Toc73300089"/>
      <w:r>
        <w:rPr>
          <w:rFonts w:hint="eastAsia"/>
        </w:rPr>
        <w:t>【国际经济简讯】</w:t>
      </w:r>
      <w:bookmarkEnd w:id="40"/>
    </w:p>
    <w:p w14:paraId="19BBD567" w14:textId="139D4AA1" w:rsidR="00425B93" w:rsidRDefault="00207D3A">
      <w:pPr>
        <w:pStyle w:val="a5"/>
        <w:spacing w:before="156" w:after="156"/>
        <w:ind w:firstLine="482"/>
        <w:rPr>
          <w:b/>
          <w:bCs/>
          <w:lang w:eastAsia="zh-CN"/>
        </w:rPr>
      </w:pPr>
      <w:bookmarkStart w:id="41" w:name="_Toc452921885"/>
      <w:bookmarkStart w:id="42" w:name="_Toc29923"/>
      <w:r>
        <w:rPr>
          <w:b/>
          <w:bCs/>
          <w:lang w:eastAsia="zh-CN"/>
        </w:rPr>
        <w:t>5</w:t>
      </w:r>
      <w:r w:rsidR="008659C3">
        <w:rPr>
          <w:rFonts w:hint="eastAsia"/>
          <w:b/>
          <w:bCs/>
          <w:lang w:eastAsia="zh-CN"/>
        </w:rPr>
        <w:t>月</w:t>
      </w:r>
      <w:r w:rsidR="00BC66DB">
        <w:rPr>
          <w:b/>
          <w:bCs/>
          <w:lang w:eastAsia="zh-CN"/>
        </w:rPr>
        <w:t>24</w:t>
      </w:r>
      <w:r w:rsidR="008659C3">
        <w:rPr>
          <w:rFonts w:hint="eastAsia"/>
          <w:b/>
          <w:bCs/>
          <w:lang w:eastAsia="zh-CN"/>
        </w:rPr>
        <w:t>日</w:t>
      </w:r>
    </w:p>
    <w:p w14:paraId="50BDFCB0" w14:textId="1C179263" w:rsidR="00BC66DB" w:rsidRDefault="00BC66DB" w:rsidP="00BC66DB">
      <w:pPr>
        <w:pStyle w:val="a5"/>
        <w:spacing w:before="156" w:after="156"/>
        <w:ind w:firstLine="480"/>
        <w:rPr>
          <w:rFonts w:cs="宋体"/>
          <w:color w:val="000000"/>
          <w:lang w:eastAsia="zh-CN"/>
        </w:rPr>
      </w:pPr>
      <w:r>
        <w:rPr>
          <w:rFonts w:hint="eastAsia"/>
          <w:highlight w:val="lightGray"/>
          <w:lang w:eastAsia="zh-CN"/>
        </w:rPr>
        <w:t>IMF</w:t>
      </w:r>
      <w:r>
        <w:rPr>
          <w:rFonts w:hint="eastAsia"/>
          <w:lang w:eastAsia="zh-CN"/>
        </w:rPr>
        <w:t>：</w:t>
      </w:r>
      <w:r w:rsidRPr="00BC66DB">
        <w:rPr>
          <w:rFonts w:cs="宋体" w:hint="eastAsia"/>
          <w:color w:val="000000"/>
          <w:lang w:eastAsia="zh-CN"/>
        </w:rPr>
        <w:t>提出</w:t>
      </w:r>
      <w:r w:rsidRPr="00BC66DB">
        <w:rPr>
          <w:rFonts w:cs="宋体"/>
          <w:color w:val="000000"/>
          <w:lang w:eastAsia="zh-CN"/>
        </w:rPr>
        <w:t>500亿美元全球抗疫方案加快疫苗普及</w:t>
      </w:r>
      <w:r>
        <w:rPr>
          <w:rFonts w:cs="宋体"/>
          <w:color w:val="000000"/>
          <w:lang w:eastAsia="zh-CN"/>
        </w:rPr>
        <w:t>。</w:t>
      </w:r>
    </w:p>
    <w:p w14:paraId="6EFF395D" w14:textId="4C8177E6" w:rsidR="00BC66DB" w:rsidRDefault="00BC66DB" w:rsidP="00BC66DB">
      <w:pPr>
        <w:pStyle w:val="a5"/>
        <w:spacing w:before="156" w:after="156"/>
        <w:ind w:firstLine="480"/>
        <w:rPr>
          <w:rFonts w:cs="宋体"/>
          <w:color w:val="000000"/>
          <w:lang w:eastAsia="zh-CN"/>
        </w:rPr>
      </w:pPr>
      <w:r w:rsidRPr="00BC66DB">
        <w:rPr>
          <w:rFonts w:hint="eastAsia"/>
          <w:highlight w:val="lightGray"/>
          <w:lang w:eastAsia="zh-CN"/>
        </w:rPr>
        <w:t>欧盟</w:t>
      </w:r>
      <w:r>
        <w:rPr>
          <w:rFonts w:hint="eastAsia"/>
          <w:lang w:eastAsia="zh-CN"/>
        </w:rPr>
        <w:t>：</w:t>
      </w:r>
      <w:r w:rsidRPr="00BC66DB">
        <w:rPr>
          <w:rFonts w:cs="宋体" w:hint="eastAsia"/>
          <w:color w:val="000000"/>
          <w:lang w:eastAsia="zh-CN"/>
        </w:rPr>
        <w:t>对</w:t>
      </w:r>
      <w:r w:rsidRPr="00BC66DB">
        <w:rPr>
          <w:rFonts w:cs="宋体"/>
          <w:color w:val="000000"/>
          <w:lang w:eastAsia="zh-CN"/>
        </w:rPr>
        <w:t>3家金融机构开出3.71亿欧元反垄断罚单</w:t>
      </w:r>
      <w:r>
        <w:rPr>
          <w:rFonts w:cs="宋体"/>
          <w:color w:val="000000"/>
          <w:lang w:eastAsia="zh-CN"/>
        </w:rPr>
        <w:t>。</w:t>
      </w:r>
    </w:p>
    <w:p w14:paraId="15698073" w14:textId="668F2204" w:rsidR="00BC66DB" w:rsidRDefault="00BC66DB" w:rsidP="00BC66DB">
      <w:pPr>
        <w:pStyle w:val="a5"/>
        <w:spacing w:before="156" w:after="156"/>
        <w:ind w:firstLine="480"/>
        <w:rPr>
          <w:rFonts w:cs="宋体"/>
          <w:color w:val="000000"/>
          <w:lang w:eastAsia="zh-CN"/>
        </w:rPr>
      </w:pPr>
      <w:r w:rsidRPr="00BC66DB">
        <w:rPr>
          <w:rFonts w:hint="eastAsia"/>
          <w:highlight w:val="lightGray"/>
          <w:lang w:eastAsia="zh-CN"/>
        </w:rPr>
        <w:t>美</w:t>
      </w:r>
      <w:r>
        <w:rPr>
          <w:rFonts w:hint="eastAsia"/>
          <w:highlight w:val="lightGray"/>
          <w:lang w:eastAsia="zh-CN"/>
        </w:rPr>
        <w:t>联储</w:t>
      </w:r>
      <w:r>
        <w:rPr>
          <w:rFonts w:hint="eastAsia"/>
          <w:lang w:eastAsia="zh-CN"/>
        </w:rPr>
        <w:t>：</w:t>
      </w:r>
      <w:r w:rsidRPr="00BC66DB">
        <w:rPr>
          <w:rFonts w:cs="宋体" w:hint="eastAsia"/>
          <w:color w:val="000000"/>
          <w:lang w:eastAsia="zh-CN"/>
        </w:rPr>
        <w:t>计划今夏发布央行数字货币讨论文件</w:t>
      </w:r>
      <w:r>
        <w:rPr>
          <w:rFonts w:cs="宋体"/>
          <w:color w:val="000000"/>
          <w:lang w:eastAsia="zh-CN"/>
        </w:rPr>
        <w:t>。</w:t>
      </w:r>
    </w:p>
    <w:p w14:paraId="00405423" w14:textId="530DB0B5" w:rsidR="00BC66DB" w:rsidRPr="00BC66DB" w:rsidRDefault="00BC66DB" w:rsidP="00BC66DB">
      <w:pPr>
        <w:pStyle w:val="a5"/>
        <w:spacing w:before="156" w:after="156"/>
        <w:ind w:firstLine="480"/>
        <w:rPr>
          <w:highlight w:val="lightGray"/>
          <w:lang w:eastAsia="zh-CN"/>
        </w:rPr>
      </w:pPr>
      <w:r w:rsidRPr="00BC66DB">
        <w:rPr>
          <w:rFonts w:hint="eastAsia"/>
          <w:highlight w:val="lightGray"/>
          <w:lang w:eastAsia="zh-CN"/>
        </w:rPr>
        <w:t>日本</w:t>
      </w:r>
      <w:r>
        <w:rPr>
          <w:rFonts w:hint="eastAsia"/>
          <w:lang w:eastAsia="zh-CN"/>
        </w:rPr>
        <w:t>：</w:t>
      </w:r>
      <w:r w:rsidRPr="00BC66DB">
        <w:rPr>
          <w:rFonts w:cs="宋体" w:hint="eastAsia"/>
          <w:color w:val="000000"/>
          <w:lang w:eastAsia="zh-CN"/>
        </w:rPr>
        <w:t>核心</w:t>
      </w:r>
      <w:r w:rsidRPr="00BC66DB">
        <w:rPr>
          <w:rFonts w:cs="宋体"/>
          <w:color w:val="000000"/>
          <w:lang w:eastAsia="zh-CN"/>
        </w:rPr>
        <w:t>CPI连续9个月同比下降</w:t>
      </w:r>
      <w:r>
        <w:rPr>
          <w:rFonts w:cs="宋体" w:hint="eastAsia"/>
          <w:color w:val="000000"/>
          <w:lang w:eastAsia="zh-CN"/>
        </w:rPr>
        <w:t>。</w:t>
      </w:r>
    </w:p>
    <w:p w14:paraId="0BC955CE" w14:textId="51BE3A07" w:rsidR="00BC66DB" w:rsidRPr="00B73FB6" w:rsidRDefault="00BC66DB" w:rsidP="00BC66DB">
      <w:pPr>
        <w:pStyle w:val="a5"/>
        <w:spacing w:before="156" w:after="156"/>
        <w:ind w:firstLine="480"/>
        <w:rPr>
          <w:rFonts w:cs="宋体"/>
          <w:color w:val="000000"/>
          <w:lang w:eastAsia="zh-CN"/>
        </w:rPr>
      </w:pPr>
      <w:r w:rsidRPr="00BC66DB">
        <w:rPr>
          <w:rFonts w:hint="eastAsia"/>
          <w:highlight w:val="lightGray"/>
          <w:lang w:eastAsia="zh-CN"/>
        </w:rPr>
        <w:t>德国</w:t>
      </w:r>
      <w:r>
        <w:rPr>
          <w:rFonts w:hint="eastAsia"/>
          <w:lang w:eastAsia="zh-CN"/>
        </w:rPr>
        <w:t>：</w:t>
      </w:r>
      <w:r w:rsidRPr="00BC66DB">
        <w:rPr>
          <w:rFonts w:cs="宋体"/>
          <w:color w:val="000000"/>
          <w:lang w:eastAsia="zh-CN"/>
        </w:rPr>
        <w:t>5月综合PMI从上月终值55.8升至56.2</w:t>
      </w:r>
      <w:r>
        <w:rPr>
          <w:rFonts w:cs="宋体" w:hint="eastAsia"/>
          <w:color w:val="000000"/>
          <w:lang w:eastAsia="zh-CN"/>
        </w:rPr>
        <w:t>。</w:t>
      </w:r>
    </w:p>
    <w:p w14:paraId="19BBD56C" w14:textId="6A4819E8" w:rsidR="00917F07" w:rsidRDefault="005C5ACC" w:rsidP="00917F07">
      <w:pPr>
        <w:pStyle w:val="a5"/>
        <w:tabs>
          <w:tab w:val="left" w:pos="2657"/>
        </w:tabs>
        <w:spacing w:before="156" w:after="156"/>
        <w:ind w:firstLine="482"/>
        <w:rPr>
          <w:b/>
          <w:bCs/>
          <w:lang w:eastAsia="zh-CN"/>
        </w:rPr>
      </w:pPr>
      <w:r>
        <w:rPr>
          <w:b/>
          <w:bCs/>
          <w:lang w:eastAsia="zh-CN"/>
        </w:rPr>
        <w:t>5</w:t>
      </w:r>
      <w:r w:rsidR="00917F07">
        <w:rPr>
          <w:rFonts w:hint="eastAsia"/>
          <w:b/>
          <w:bCs/>
          <w:lang w:eastAsia="zh-CN"/>
        </w:rPr>
        <w:t>月</w:t>
      </w:r>
      <w:r w:rsidR="00BC66DB">
        <w:rPr>
          <w:b/>
          <w:bCs/>
          <w:lang w:eastAsia="zh-CN"/>
        </w:rPr>
        <w:t>25</w:t>
      </w:r>
      <w:r w:rsidR="00917F07">
        <w:rPr>
          <w:rFonts w:hint="eastAsia"/>
          <w:b/>
          <w:bCs/>
          <w:lang w:eastAsia="zh-CN"/>
        </w:rPr>
        <w:t>日</w:t>
      </w:r>
    </w:p>
    <w:p w14:paraId="649B1A7E" w14:textId="273D47FF" w:rsidR="00BC66DB" w:rsidRPr="00B73FB6" w:rsidRDefault="00BC66DB" w:rsidP="00BC66DB">
      <w:pPr>
        <w:pStyle w:val="a5"/>
        <w:spacing w:before="156" w:after="156"/>
        <w:ind w:firstLine="480"/>
        <w:rPr>
          <w:rFonts w:cs="宋体"/>
          <w:color w:val="000000"/>
          <w:lang w:eastAsia="zh-CN"/>
        </w:rPr>
      </w:pPr>
      <w:r>
        <w:rPr>
          <w:rFonts w:hint="eastAsia"/>
          <w:highlight w:val="lightGray"/>
          <w:lang w:eastAsia="zh-CN"/>
        </w:rPr>
        <w:lastRenderedPageBreak/>
        <w:t>韩</w:t>
      </w:r>
      <w:r w:rsidRPr="00BC66DB">
        <w:rPr>
          <w:rFonts w:hint="eastAsia"/>
          <w:highlight w:val="lightGray"/>
          <w:lang w:eastAsia="zh-CN"/>
        </w:rPr>
        <w:t>国</w:t>
      </w:r>
      <w:r>
        <w:rPr>
          <w:rFonts w:hint="eastAsia"/>
          <w:lang w:eastAsia="zh-CN"/>
        </w:rPr>
        <w:t>：</w:t>
      </w:r>
      <w:r w:rsidRPr="00BC66DB">
        <w:rPr>
          <w:rFonts w:cs="宋体" w:hint="eastAsia"/>
          <w:color w:val="000000"/>
          <w:lang w:eastAsia="zh-CN"/>
        </w:rPr>
        <w:t>央行数字货币技术平台招标</w:t>
      </w:r>
      <w:r>
        <w:rPr>
          <w:rFonts w:cs="宋体" w:hint="eastAsia"/>
          <w:color w:val="000000"/>
          <w:lang w:eastAsia="zh-CN"/>
        </w:rPr>
        <w:t>。</w:t>
      </w:r>
    </w:p>
    <w:p w14:paraId="126C18D9" w14:textId="494CD6BA" w:rsidR="00BC66DB" w:rsidRPr="00B73FB6" w:rsidRDefault="00BC66DB" w:rsidP="00BC66DB">
      <w:pPr>
        <w:pStyle w:val="a5"/>
        <w:spacing w:before="156" w:after="156"/>
        <w:ind w:firstLine="480"/>
        <w:rPr>
          <w:rFonts w:cs="宋体"/>
          <w:color w:val="000000"/>
          <w:lang w:eastAsia="zh-CN"/>
        </w:rPr>
      </w:pPr>
      <w:r>
        <w:rPr>
          <w:rFonts w:hint="eastAsia"/>
          <w:highlight w:val="lightGray"/>
          <w:lang w:eastAsia="zh-CN"/>
        </w:rPr>
        <w:t>泰</w:t>
      </w:r>
      <w:r w:rsidRPr="00BC66DB">
        <w:rPr>
          <w:rFonts w:hint="eastAsia"/>
          <w:highlight w:val="lightGray"/>
          <w:lang w:eastAsia="zh-CN"/>
        </w:rPr>
        <w:t>国</w:t>
      </w:r>
      <w:r>
        <w:rPr>
          <w:rFonts w:hint="eastAsia"/>
          <w:lang w:eastAsia="zh-CN"/>
        </w:rPr>
        <w:t>：</w:t>
      </w:r>
      <w:r w:rsidRPr="00BC66DB">
        <w:rPr>
          <w:rFonts w:cs="宋体" w:hint="eastAsia"/>
          <w:color w:val="000000"/>
          <w:lang w:eastAsia="zh-CN"/>
        </w:rPr>
        <w:t>一季度失业率创</w:t>
      </w:r>
      <w:r w:rsidRPr="00BC66DB">
        <w:rPr>
          <w:rFonts w:cs="宋体"/>
          <w:color w:val="000000"/>
          <w:lang w:eastAsia="zh-CN"/>
        </w:rPr>
        <w:t>12年来新高</w:t>
      </w:r>
      <w:r>
        <w:rPr>
          <w:rFonts w:cs="宋体" w:hint="eastAsia"/>
          <w:color w:val="000000"/>
          <w:lang w:eastAsia="zh-CN"/>
        </w:rPr>
        <w:t>。</w:t>
      </w:r>
    </w:p>
    <w:p w14:paraId="19BBD570" w14:textId="681411E9" w:rsidR="00425B93" w:rsidRDefault="000B6E50">
      <w:pPr>
        <w:pStyle w:val="a5"/>
        <w:spacing w:before="156" w:after="156"/>
        <w:ind w:firstLine="482"/>
        <w:rPr>
          <w:b/>
          <w:bCs/>
          <w:lang w:eastAsia="zh-CN"/>
        </w:rPr>
      </w:pPr>
      <w:r>
        <w:rPr>
          <w:b/>
          <w:bCs/>
          <w:lang w:eastAsia="zh-CN"/>
        </w:rPr>
        <w:t>5</w:t>
      </w:r>
      <w:r w:rsidR="008659C3">
        <w:rPr>
          <w:rFonts w:hint="eastAsia"/>
          <w:b/>
          <w:bCs/>
          <w:lang w:eastAsia="zh-CN"/>
        </w:rPr>
        <w:t>月</w:t>
      </w:r>
      <w:r w:rsidR="00C9593A">
        <w:rPr>
          <w:b/>
          <w:bCs/>
          <w:lang w:eastAsia="zh-CN"/>
        </w:rPr>
        <w:t>26</w:t>
      </w:r>
      <w:r w:rsidR="008659C3">
        <w:rPr>
          <w:rFonts w:hint="eastAsia"/>
          <w:b/>
          <w:bCs/>
          <w:lang w:eastAsia="zh-CN"/>
        </w:rPr>
        <w:t>日</w:t>
      </w:r>
    </w:p>
    <w:p w14:paraId="7C8396A6" w14:textId="7D6E586E" w:rsidR="00C9593A" w:rsidRDefault="00C9593A" w:rsidP="00C9593A">
      <w:pPr>
        <w:pStyle w:val="a5"/>
        <w:spacing w:before="156" w:after="156"/>
        <w:ind w:firstLine="480"/>
        <w:rPr>
          <w:rFonts w:cs="宋体"/>
          <w:color w:val="000000"/>
          <w:lang w:eastAsia="zh-CN"/>
        </w:rPr>
      </w:pPr>
      <w:r>
        <w:rPr>
          <w:rFonts w:hint="eastAsia"/>
          <w:highlight w:val="lightGray"/>
          <w:lang w:eastAsia="zh-CN"/>
        </w:rPr>
        <w:t>经合组织</w:t>
      </w:r>
      <w:r>
        <w:rPr>
          <w:rFonts w:hint="eastAsia"/>
          <w:lang w:eastAsia="zh-CN"/>
        </w:rPr>
        <w:t>：</w:t>
      </w:r>
      <w:r w:rsidRPr="00C9593A">
        <w:rPr>
          <w:rFonts w:cs="宋体" w:hint="eastAsia"/>
          <w:color w:val="000000"/>
          <w:lang w:eastAsia="zh-CN"/>
        </w:rPr>
        <w:t>一季度二十国集团成员国际货物贸易进出口额创纪录</w:t>
      </w:r>
      <w:r>
        <w:rPr>
          <w:rFonts w:cs="宋体"/>
          <w:color w:val="000000"/>
          <w:lang w:eastAsia="zh-CN"/>
        </w:rPr>
        <w:t>。</w:t>
      </w:r>
    </w:p>
    <w:p w14:paraId="6EEC0B17" w14:textId="49337F1F" w:rsidR="00C9593A" w:rsidRPr="00B73FB6" w:rsidRDefault="00C9593A" w:rsidP="00C9593A">
      <w:pPr>
        <w:pStyle w:val="a5"/>
        <w:spacing w:before="156" w:after="156"/>
        <w:ind w:firstLine="480"/>
        <w:rPr>
          <w:rFonts w:cs="宋体"/>
          <w:color w:val="000000"/>
          <w:lang w:eastAsia="zh-CN"/>
        </w:rPr>
      </w:pPr>
      <w:r w:rsidRPr="00BC66DB">
        <w:rPr>
          <w:rFonts w:hint="eastAsia"/>
          <w:highlight w:val="lightGray"/>
          <w:lang w:eastAsia="zh-CN"/>
        </w:rPr>
        <w:t>德国</w:t>
      </w:r>
      <w:r>
        <w:rPr>
          <w:rFonts w:hint="eastAsia"/>
          <w:lang w:eastAsia="zh-CN"/>
        </w:rPr>
        <w:t>：</w:t>
      </w:r>
      <w:r w:rsidRPr="00C9593A">
        <w:rPr>
          <w:rFonts w:cs="宋体"/>
          <w:color w:val="000000"/>
          <w:lang w:eastAsia="zh-CN"/>
        </w:rPr>
        <w:t>5月商业景气指数环比显著上升</w:t>
      </w:r>
      <w:r>
        <w:rPr>
          <w:rFonts w:cs="宋体" w:hint="eastAsia"/>
          <w:color w:val="000000"/>
          <w:lang w:eastAsia="zh-CN"/>
        </w:rPr>
        <w:t>。</w:t>
      </w:r>
    </w:p>
    <w:p w14:paraId="475DDDCA" w14:textId="3A5991DA" w:rsidR="00C9593A" w:rsidRPr="00B73FB6" w:rsidRDefault="00C9593A" w:rsidP="00C9593A">
      <w:pPr>
        <w:pStyle w:val="a5"/>
        <w:spacing w:before="156" w:after="156"/>
        <w:ind w:firstLine="480"/>
        <w:rPr>
          <w:rFonts w:cs="宋体"/>
          <w:color w:val="000000"/>
          <w:lang w:eastAsia="zh-CN"/>
        </w:rPr>
      </w:pPr>
      <w:r>
        <w:rPr>
          <w:rFonts w:hint="eastAsia"/>
          <w:highlight w:val="lightGray"/>
          <w:lang w:eastAsia="zh-CN"/>
        </w:rPr>
        <w:t>新加坡</w:t>
      </w:r>
      <w:r>
        <w:rPr>
          <w:rFonts w:hint="eastAsia"/>
          <w:lang w:eastAsia="zh-CN"/>
        </w:rPr>
        <w:t>：</w:t>
      </w:r>
      <w:r w:rsidRPr="00C9593A">
        <w:rPr>
          <w:rFonts w:cs="宋体" w:hint="eastAsia"/>
          <w:color w:val="000000"/>
          <w:lang w:eastAsia="zh-CN"/>
        </w:rPr>
        <w:t>维持</w:t>
      </w:r>
      <w:r w:rsidRPr="00C9593A">
        <w:rPr>
          <w:rFonts w:cs="宋体"/>
          <w:color w:val="000000"/>
          <w:lang w:eastAsia="zh-CN"/>
        </w:rPr>
        <w:t>2021年经济增长4%-6%预期不变</w:t>
      </w:r>
      <w:r>
        <w:rPr>
          <w:rFonts w:cs="宋体" w:hint="eastAsia"/>
          <w:color w:val="000000"/>
          <w:lang w:eastAsia="zh-CN"/>
        </w:rPr>
        <w:t>。</w:t>
      </w:r>
    </w:p>
    <w:p w14:paraId="597C2E8C" w14:textId="0710B253" w:rsidR="00C9593A" w:rsidRPr="00B73FB6" w:rsidRDefault="00C9593A" w:rsidP="00C9593A">
      <w:pPr>
        <w:pStyle w:val="a5"/>
        <w:spacing w:before="156" w:after="156"/>
        <w:ind w:firstLine="480"/>
        <w:rPr>
          <w:rFonts w:cs="宋体"/>
          <w:color w:val="000000"/>
          <w:lang w:eastAsia="zh-CN"/>
        </w:rPr>
      </w:pPr>
      <w:r>
        <w:rPr>
          <w:rFonts w:hint="eastAsia"/>
          <w:highlight w:val="lightGray"/>
          <w:lang w:eastAsia="zh-CN"/>
        </w:rPr>
        <w:t>印度</w:t>
      </w:r>
      <w:r>
        <w:rPr>
          <w:rFonts w:hint="eastAsia"/>
          <w:lang w:eastAsia="zh-CN"/>
        </w:rPr>
        <w:t>：</w:t>
      </w:r>
      <w:r w:rsidRPr="00C9593A">
        <w:rPr>
          <w:rFonts w:cs="宋体" w:hint="eastAsia"/>
          <w:color w:val="000000"/>
          <w:lang w:eastAsia="zh-CN"/>
        </w:rPr>
        <w:t>政府准备实施新一轮经济刺激计划</w:t>
      </w:r>
      <w:r>
        <w:rPr>
          <w:rFonts w:cs="宋体" w:hint="eastAsia"/>
          <w:color w:val="000000"/>
          <w:lang w:eastAsia="zh-CN"/>
        </w:rPr>
        <w:t>。</w:t>
      </w:r>
    </w:p>
    <w:p w14:paraId="19BBD574" w14:textId="6CBAD1BB" w:rsidR="00425B93" w:rsidRDefault="00993A61">
      <w:pPr>
        <w:pStyle w:val="a5"/>
        <w:spacing w:before="156" w:after="156"/>
        <w:ind w:firstLine="482"/>
        <w:rPr>
          <w:b/>
          <w:bCs/>
          <w:lang w:eastAsia="zh-CN"/>
        </w:rPr>
      </w:pPr>
      <w:r>
        <w:rPr>
          <w:b/>
          <w:bCs/>
          <w:lang w:eastAsia="zh-CN"/>
        </w:rPr>
        <w:t>5</w:t>
      </w:r>
      <w:r w:rsidR="008659C3">
        <w:rPr>
          <w:rFonts w:hint="eastAsia"/>
          <w:b/>
          <w:bCs/>
          <w:lang w:eastAsia="zh-CN"/>
        </w:rPr>
        <w:t>月</w:t>
      </w:r>
      <w:r w:rsidR="00C9593A">
        <w:rPr>
          <w:b/>
          <w:bCs/>
          <w:lang w:eastAsia="zh-CN"/>
        </w:rPr>
        <w:t>27</w:t>
      </w:r>
      <w:r w:rsidR="008659C3">
        <w:rPr>
          <w:rFonts w:hint="eastAsia"/>
          <w:b/>
          <w:bCs/>
          <w:lang w:eastAsia="zh-CN"/>
        </w:rPr>
        <w:t>日</w:t>
      </w:r>
    </w:p>
    <w:p w14:paraId="277B28F1" w14:textId="3AAC5550" w:rsidR="00C9593A" w:rsidRPr="00B73FB6" w:rsidRDefault="00C9593A" w:rsidP="00C9593A">
      <w:pPr>
        <w:pStyle w:val="a5"/>
        <w:spacing w:before="156" w:after="156"/>
        <w:ind w:firstLine="480"/>
        <w:rPr>
          <w:rFonts w:cs="宋体"/>
          <w:color w:val="000000"/>
          <w:lang w:eastAsia="zh-CN"/>
        </w:rPr>
      </w:pPr>
      <w:r w:rsidRPr="00C9593A">
        <w:rPr>
          <w:rFonts w:hint="eastAsia"/>
          <w:highlight w:val="lightGray"/>
          <w:lang w:eastAsia="zh-CN"/>
        </w:rPr>
        <w:t>德国</w:t>
      </w:r>
      <w:r>
        <w:rPr>
          <w:rFonts w:hint="eastAsia"/>
          <w:highlight w:val="lightGray"/>
          <w:lang w:eastAsia="zh-CN"/>
        </w:rPr>
        <w:t>智库</w:t>
      </w:r>
      <w:r>
        <w:rPr>
          <w:rFonts w:hint="eastAsia"/>
          <w:lang w:eastAsia="zh-CN"/>
        </w:rPr>
        <w:t>：</w:t>
      </w:r>
      <w:r w:rsidRPr="00C9593A">
        <w:rPr>
          <w:rFonts w:cs="宋体" w:hint="eastAsia"/>
          <w:color w:val="000000"/>
          <w:lang w:eastAsia="zh-CN"/>
        </w:rPr>
        <w:t>德国</w:t>
      </w:r>
      <w:r w:rsidRPr="00C9593A">
        <w:rPr>
          <w:rFonts w:cs="宋体"/>
          <w:color w:val="000000"/>
          <w:lang w:eastAsia="zh-CN"/>
        </w:rPr>
        <w:t>5月制造业出口预期从23.9点环比轻微回落至23.0点</w:t>
      </w:r>
      <w:r>
        <w:rPr>
          <w:rFonts w:cs="宋体" w:hint="eastAsia"/>
          <w:color w:val="000000"/>
          <w:lang w:eastAsia="zh-CN"/>
        </w:rPr>
        <w:t>。</w:t>
      </w:r>
    </w:p>
    <w:p w14:paraId="5BA3F818" w14:textId="153DE149" w:rsidR="00C9593A" w:rsidRPr="00BC66DB" w:rsidRDefault="00C9593A" w:rsidP="00C9593A">
      <w:pPr>
        <w:pStyle w:val="a5"/>
        <w:spacing w:before="156" w:after="156"/>
        <w:ind w:firstLine="480"/>
        <w:rPr>
          <w:highlight w:val="lightGray"/>
          <w:lang w:eastAsia="zh-CN"/>
        </w:rPr>
      </w:pPr>
      <w:r w:rsidRPr="00BC66DB">
        <w:rPr>
          <w:rFonts w:hint="eastAsia"/>
          <w:highlight w:val="lightGray"/>
          <w:lang w:eastAsia="zh-CN"/>
        </w:rPr>
        <w:t>日本</w:t>
      </w:r>
      <w:r>
        <w:rPr>
          <w:rFonts w:hint="eastAsia"/>
          <w:lang w:eastAsia="zh-CN"/>
        </w:rPr>
        <w:t>：</w:t>
      </w:r>
      <w:r w:rsidRPr="00C9593A">
        <w:rPr>
          <w:rFonts w:cs="宋体" w:hint="eastAsia"/>
          <w:color w:val="000000"/>
          <w:lang w:eastAsia="zh-CN"/>
        </w:rPr>
        <w:t>通过</w:t>
      </w:r>
      <w:r w:rsidRPr="00C9593A">
        <w:rPr>
          <w:rFonts w:cs="宋体"/>
          <w:color w:val="000000"/>
          <w:lang w:eastAsia="zh-CN"/>
        </w:rPr>
        <w:t>2050年碳中和法案</w:t>
      </w:r>
      <w:r>
        <w:rPr>
          <w:rFonts w:cs="宋体" w:hint="eastAsia"/>
          <w:color w:val="000000"/>
          <w:lang w:eastAsia="zh-CN"/>
        </w:rPr>
        <w:t>。</w:t>
      </w:r>
    </w:p>
    <w:p w14:paraId="3029AE42" w14:textId="0BB0F699" w:rsidR="00C9593A" w:rsidRPr="00BC66DB" w:rsidRDefault="00C9593A" w:rsidP="00C9593A">
      <w:pPr>
        <w:pStyle w:val="a5"/>
        <w:spacing w:before="156" w:after="156"/>
        <w:ind w:firstLine="480"/>
        <w:rPr>
          <w:highlight w:val="lightGray"/>
          <w:lang w:eastAsia="zh-CN"/>
        </w:rPr>
      </w:pPr>
      <w:r>
        <w:rPr>
          <w:rFonts w:hint="eastAsia"/>
          <w:highlight w:val="lightGray"/>
          <w:lang w:eastAsia="zh-CN"/>
        </w:rPr>
        <w:t>南非储备银行</w:t>
      </w:r>
      <w:r>
        <w:rPr>
          <w:rFonts w:hint="eastAsia"/>
          <w:lang w:eastAsia="zh-CN"/>
        </w:rPr>
        <w:t>：</w:t>
      </w:r>
      <w:r w:rsidRPr="00C9593A">
        <w:rPr>
          <w:rFonts w:cs="宋体" w:hint="eastAsia"/>
          <w:color w:val="000000"/>
          <w:lang w:eastAsia="zh-CN"/>
        </w:rPr>
        <w:t>正调研发行中央银行数字货币的可行性</w:t>
      </w:r>
      <w:r>
        <w:rPr>
          <w:rFonts w:cs="宋体" w:hint="eastAsia"/>
          <w:color w:val="000000"/>
          <w:lang w:eastAsia="zh-CN"/>
        </w:rPr>
        <w:t>。</w:t>
      </w:r>
    </w:p>
    <w:p w14:paraId="19BBD578" w14:textId="125FEF7D" w:rsidR="00143866" w:rsidRDefault="00017BF7" w:rsidP="00143866">
      <w:pPr>
        <w:pStyle w:val="a5"/>
        <w:spacing w:before="156" w:after="156"/>
        <w:ind w:firstLine="482"/>
        <w:rPr>
          <w:b/>
          <w:bCs/>
          <w:lang w:eastAsia="zh-CN"/>
        </w:rPr>
      </w:pPr>
      <w:r>
        <w:rPr>
          <w:b/>
          <w:bCs/>
          <w:lang w:eastAsia="zh-CN"/>
        </w:rPr>
        <w:t>5</w:t>
      </w:r>
      <w:r w:rsidR="00143866">
        <w:rPr>
          <w:rFonts w:hint="eastAsia"/>
          <w:b/>
          <w:bCs/>
          <w:lang w:eastAsia="zh-CN"/>
        </w:rPr>
        <w:t>月</w:t>
      </w:r>
      <w:r w:rsidR="00C9593A">
        <w:rPr>
          <w:b/>
          <w:bCs/>
          <w:lang w:eastAsia="zh-CN"/>
        </w:rPr>
        <w:t>28</w:t>
      </w:r>
      <w:r w:rsidR="00143866">
        <w:rPr>
          <w:rFonts w:hint="eastAsia"/>
          <w:b/>
          <w:bCs/>
          <w:lang w:eastAsia="zh-CN"/>
        </w:rPr>
        <w:t>日</w:t>
      </w:r>
    </w:p>
    <w:p w14:paraId="3CD3B6FF" w14:textId="68BBA26F" w:rsidR="00C9593A" w:rsidRDefault="00C9593A" w:rsidP="00C9593A">
      <w:pPr>
        <w:pStyle w:val="a5"/>
        <w:spacing w:before="156" w:after="156"/>
        <w:ind w:firstLine="480"/>
        <w:rPr>
          <w:rFonts w:cs="宋体"/>
          <w:color w:val="000000"/>
          <w:lang w:eastAsia="zh-CN"/>
        </w:rPr>
      </w:pPr>
      <w:r w:rsidRPr="00C9593A">
        <w:rPr>
          <w:rFonts w:hint="eastAsia"/>
          <w:highlight w:val="lightGray"/>
          <w:lang w:eastAsia="zh-CN"/>
        </w:rPr>
        <w:t>美国劳工部</w:t>
      </w:r>
      <w:r>
        <w:rPr>
          <w:rFonts w:hint="eastAsia"/>
          <w:lang w:eastAsia="zh-CN"/>
        </w:rPr>
        <w:t>：</w:t>
      </w:r>
      <w:r w:rsidRPr="00C9593A">
        <w:rPr>
          <w:rFonts w:cs="宋体" w:hint="eastAsia"/>
          <w:color w:val="000000"/>
          <w:lang w:eastAsia="zh-CN"/>
        </w:rPr>
        <w:t>截至</w:t>
      </w:r>
      <w:r w:rsidRPr="00C9593A">
        <w:rPr>
          <w:rFonts w:cs="宋体"/>
          <w:color w:val="000000"/>
          <w:lang w:eastAsia="zh-CN"/>
        </w:rPr>
        <w:t>5月22日当周，美国首次申请失业救济的人数下降至40.6万人</w:t>
      </w:r>
      <w:r>
        <w:rPr>
          <w:rFonts w:cs="宋体" w:hint="eastAsia"/>
          <w:color w:val="000000"/>
          <w:lang w:eastAsia="zh-CN"/>
        </w:rPr>
        <w:t>。</w:t>
      </w:r>
    </w:p>
    <w:p w14:paraId="2E781866" w14:textId="5CBA753F" w:rsidR="00C9593A" w:rsidRDefault="00C9593A" w:rsidP="00C9593A">
      <w:pPr>
        <w:pStyle w:val="a5"/>
        <w:spacing w:before="156" w:after="156"/>
        <w:ind w:firstLine="480"/>
        <w:rPr>
          <w:rFonts w:cs="宋体"/>
          <w:color w:val="000000"/>
          <w:lang w:eastAsia="zh-CN"/>
        </w:rPr>
      </w:pPr>
      <w:r w:rsidRPr="00C9593A">
        <w:rPr>
          <w:rFonts w:hint="eastAsia"/>
          <w:highlight w:val="lightGray"/>
          <w:lang w:eastAsia="zh-CN"/>
        </w:rPr>
        <w:t>美国</w:t>
      </w:r>
      <w:r>
        <w:rPr>
          <w:rFonts w:hint="eastAsia"/>
          <w:highlight w:val="lightGray"/>
          <w:lang w:eastAsia="zh-CN"/>
        </w:rPr>
        <w:t>商务</w:t>
      </w:r>
      <w:r w:rsidRPr="00C9593A">
        <w:rPr>
          <w:rFonts w:hint="eastAsia"/>
          <w:highlight w:val="lightGray"/>
          <w:lang w:eastAsia="zh-CN"/>
        </w:rPr>
        <w:t>部</w:t>
      </w:r>
      <w:r>
        <w:rPr>
          <w:rFonts w:hint="eastAsia"/>
          <w:highlight w:val="lightGray"/>
          <w:lang w:eastAsia="zh-CN"/>
        </w:rPr>
        <w:t>修正数据</w:t>
      </w:r>
      <w:r>
        <w:rPr>
          <w:rFonts w:hint="eastAsia"/>
          <w:lang w:eastAsia="zh-CN"/>
        </w:rPr>
        <w:t>：</w:t>
      </w:r>
      <w:r w:rsidRPr="00C9593A">
        <w:rPr>
          <w:rFonts w:cs="宋体" w:hint="eastAsia"/>
          <w:color w:val="000000"/>
          <w:lang w:eastAsia="zh-CN"/>
        </w:rPr>
        <w:t>一季度美国国内生产总值按年率计算增长</w:t>
      </w:r>
      <w:r w:rsidRPr="00C9593A">
        <w:rPr>
          <w:rFonts w:cs="宋体"/>
          <w:color w:val="000000"/>
          <w:lang w:eastAsia="zh-CN"/>
        </w:rPr>
        <w:t>6.4%，与初次数据持平</w:t>
      </w:r>
      <w:r>
        <w:rPr>
          <w:rFonts w:cs="宋体" w:hint="eastAsia"/>
          <w:color w:val="000000"/>
          <w:lang w:eastAsia="zh-CN"/>
        </w:rPr>
        <w:t>。</w:t>
      </w:r>
    </w:p>
    <w:p w14:paraId="798CC7D8" w14:textId="1A30AA9E" w:rsidR="00C9593A" w:rsidRDefault="00C9593A" w:rsidP="00C9593A">
      <w:pPr>
        <w:pStyle w:val="a5"/>
        <w:spacing w:before="156" w:after="156"/>
        <w:ind w:firstLine="480"/>
        <w:rPr>
          <w:rFonts w:cs="宋体"/>
          <w:color w:val="000000"/>
          <w:lang w:eastAsia="zh-CN"/>
        </w:rPr>
      </w:pPr>
      <w:r w:rsidRPr="00C9593A">
        <w:rPr>
          <w:rFonts w:hint="eastAsia"/>
          <w:highlight w:val="lightGray"/>
          <w:lang w:eastAsia="zh-CN"/>
        </w:rPr>
        <w:t>欧盟</w:t>
      </w:r>
      <w:r>
        <w:rPr>
          <w:rFonts w:hint="eastAsia"/>
          <w:lang w:eastAsia="zh-CN"/>
        </w:rPr>
        <w:t>：</w:t>
      </w:r>
      <w:r w:rsidRPr="00C9593A">
        <w:rPr>
          <w:rFonts w:cs="宋体" w:hint="eastAsia"/>
          <w:color w:val="000000"/>
          <w:lang w:eastAsia="zh-CN"/>
        </w:rPr>
        <w:t>计划拨款超过</w:t>
      </w:r>
      <w:r w:rsidRPr="00C9593A">
        <w:rPr>
          <w:rFonts w:cs="宋体"/>
          <w:color w:val="000000"/>
          <w:lang w:eastAsia="zh-CN"/>
        </w:rPr>
        <w:t>3亿欧元，支持文化产业复苏</w:t>
      </w:r>
      <w:r>
        <w:rPr>
          <w:rFonts w:cs="宋体"/>
          <w:color w:val="000000"/>
          <w:lang w:eastAsia="zh-CN"/>
        </w:rPr>
        <w:t>。</w:t>
      </w:r>
    </w:p>
    <w:p w14:paraId="30BEA429" w14:textId="09A5B355" w:rsidR="00C9593A" w:rsidRPr="00B73FB6" w:rsidRDefault="00C9593A" w:rsidP="00C9593A">
      <w:pPr>
        <w:pStyle w:val="a5"/>
        <w:spacing w:before="156" w:after="156"/>
        <w:ind w:firstLine="480"/>
        <w:rPr>
          <w:rFonts w:cs="宋体"/>
          <w:color w:val="000000"/>
          <w:lang w:eastAsia="zh-CN"/>
        </w:rPr>
      </w:pPr>
      <w:r w:rsidRPr="00BC66DB">
        <w:rPr>
          <w:rFonts w:hint="eastAsia"/>
          <w:highlight w:val="lightGray"/>
          <w:lang w:eastAsia="zh-CN"/>
        </w:rPr>
        <w:t>德国</w:t>
      </w:r>
      <w:r>
        <w:rPr>
          <w:rFonts w:hint="eastAsia"/>
          <w:lang w:eastAsia="zh-CN"/>
        </w:rPr>
        <w:t>：</w:t>
      </w:r>
      <w:r w:rsidRPr="00C9593A">
        <w:rPr>
          <w:rFonts w:cs="宋体"/>
          <w:color w:val="000000"/>
          <w:lang w:eastAsia="zh-CN"/>
        </w:rPr>
        <w:t>6月消费者信心先行指数环比上升</w:t>
      </w:r>
      <w:r>
        <w:rPr>
          <w:rFonts w:cs="宋体" w:hint="eastAsia"/>
          <w:color w:val="000000"/>
          <w:lang w:eastAsia="zh-CN"/>
        </w:rPr>
        <w:t>。</w:t>
      </w:r>
    </w:p>
    <w:p w14:paraId="19BBD57C" w14:textId="77777777" w:rsidR="00425B93" w:rsidRDefault="008659C3">
      <w:pPr>
        <w:pStyle w:val="1"/>
        <w:spacing w:before="156" w:after="156"/>
      </w:pPr>
      <w:bookmarkStart w:id="43" w:name="_Toc73300090"/>
      <w:r>
        <w:rPr>
          <w:rFonts w:hint="eastAsia"/>
        </w:rPr>
        <w:t>【本周关注】</w:t>
      </w:r>
      <w:bookmarkEnd w:id="41"/>
      <w:bookmarkEnd w:id="42"/>
      <w:bookmarkEnd w:id="43"/>
    </w:p>
    <w:p w14:paraId="19BBD57D" w14:textId="39362157" w:rsidR="00425B93" w:rsidRDefault="006335D0">
      <w:pPr>
        <w:pStyle w:val="a5"/>
        <w:spacing w:before="156" w:after="156"/>
        <w:ind w:firstLine="482"/>
        <w:rPr>
          <w:b/>
          <w:bCs/>
          <w:lang w:eastAsia="zh-CN"/>
        </w:rPr>
      </w:pPr>
      <w:r>
        <w:rPr>
          <w:b/>
          <w:bCs/>
          <w:lang w:eastAsia="zh-CN"/>
        </w:rPr>
        <w:t>5</w:t>
      </w:r>
      <w:r w:rsidR="008659C3">
        <w:rPr>
          <w:rFonts w:hint="eastAsia"/>
          <w:b/>
          <w:bCs/>
          <w:lang w:eastAsia="zh-CN"/>
        </w:rPr>
        <w:t>月</w:t>
      </w:r>
      <w:r w:rsidR="00C9593A">
        <w:rPr>
          <w:b/>
          <w:bCs/>
          <w:lang w:eastAsia="zh-CN"/>
        </w:rPr>
        <w:t>31</w:t>
      </w:r>
      <w:r w:rsidR="008659C3">
        <w:rPr>
          <w:rFonts w:hint="eastAsia"/>
          <w:b/>
          <w:bCs/>
          <w:lang w:eastAsia="zh-CN"/>
        </w:rPr>
        <w:t>日</w:t>
      </w:r>
    </w:p>
    <w:p w14:paraId="4AC3F637" w14:textId="7BC14EA7" w:rsidR="00C9593A" w:rsidRDefault="002366DB">
      <w:pPr>
        <w:pStyle w:val="a5"/>
        <w:spacing w:before="156" w:after="156"/>
        <w:ind w:firstLine="480"/>
        <w:rPr>
          <w:lang w:eastAsia="zh-CN"/>
        </w:rPr>
      </w:pPr>
      <w:r w:rsidRPr="002366DB">
        <w:rPr>
          <w:rFonts w:hint="eastAsia"/>
          <w:lang w:eastAsia="zh-CN"/>
        </w:rPr>
        <w:t>中国</w:t>
      </w:r>
      <w:r w:rsidRPr="002366DB">
        <w:rPr>
          <w:lang w:eastAsia="zh-CN"/>
        </w:rPr>
        <w:t>5月官方制造业PMI</w:t>
      </w:r>
    </w:p>
    <w:p w14:paraId="41F3451E" w14:textId="24BED01A" w:rsidR="002366DB" w:rsidRDefault="002366DB">
      <w:pPr>
        <w:pStyle w:val="a5"/>
        <w:spacing w:before="156" w:after="156"/>
        <w:ind w:firstLine="480"/>
        <w:rPr>
          <w:lang w:eastAsia="zh-CN"/>
        </w:rPr>
      </w:pPr>
      <w:r w:rsidRPr="002366DB">
        <w:rPr>
          <w:rFonts w:hint="eastAsia"/>
          <w:lang w:eastAsia="zh-CN"/>
        </w:rPr>
        <w:t>德国</w:t>
      </w:r>
      <w:r w:rsidRPr="002366DB">
        <w:rPr>
          <w:lang w:eastAsia="zh-CN"/>
        </w:rPr>
        <w:t>5月CPI年率初值(%)</w:t>
      </w:r>
    </w:p>
    <w:p w14:paraId="19BBD580" w14:textId="5BD59036" w:rsidR="00AE4724" w:rsidRDefault="002366DB" w:rsidP="00AE4724">
      <w:pPr>
        <w:pStyle w:val="a5"/>
        <w:spacing w:before="156" w:after="156"/>
        <w:ind w:firstLine="482"/>
        <w:rPr>
          <w:b/>
          <w:bCs/>
          <w:lang w:eastAsia="zh-CN"/>
        </w:rPr>
      </w:pPr>
      <w:r>
        <w:rPr>
          <w:b/>
          <w:bCs/>
          <w:lang w:eastAsia="zh-CN"/>
        </w:rPr>
        <w:t>6</w:t>
      </w:r>
      <w:r w:rsidR="00AE4724">
        <w:rPr>
          <w:rFonts w:hint="eastAsia"/>
          <w:b/>
          <w:bCs/>
          <w:lang w:eastAsia="zh-CN"/>
        </w:rPr>
        <w:t>月</w:t>
      </w:r>
      <w:r w:rsidR="00CC64EE">
        <w:rPr>
          <w:b/>
          <w:bCs/>
          <w:lang w:eastAsia="zh-CN"/>
        </w:rPr>
        <w:t>1</w:t>
      </w:r>
      <w:r w:rsidR="00AE4724">
        <w:rPr>
          <w:rFonts w:hint="eastAsia"/>
          <w:b/>
          <w:bCs/>
          <w:lang w:eastAsia="zh-CN"/>
        </w:rPr>
        <w:t>日</w:t>
      </w:r>
    </w:p>
    <w:p w14:paraId="438696CA" w14:textId="4A59AE75" w:rsidR="002366DB" w:rsidRDefault="002366DB">
      <w:pPr>
        <w:pStyle w:val="a5"/>
        <w:spacing w:before="156" w:after="156"/>
        <w:ind w:firstLine="480"/>
        <w:rPr>
          <w:lang w:eastAsia="zh-CN"/>
        </w:rPr>
      </w:pPr>
      <w:r w:rsidRPr="002366DB">
        <w:rPr>
          <w:rFonts w:hint="eastAsia"/>
          <w:lang w:eastAsia="zh-CN"/>
        </w:rPr>
        <w:t>澳大利亚第一季度经常帐</w:t>
      </w:r>
      <w:r w:rsidRPr="002366DB">
        <w:rPr>
          <w:lang w:eastAsia="zh-CN"/>
        </w:rPr>
        <w:t>(亿澳元)</w:t>
      </w:r>
    </w:p>
    <w:p w14:paraId="6D869B1D" w14:textId="1D1D3EBC" w:rsidR="002366DB" w:rsidRDefault="002366DB">
      <w:pPr>
        <w:pStyle w:val="a5"/>
        <w:spacing w:before="156" w:after="156"/>
        <w:ind w:firstLine="480"/>
        <w:rPr>
          <w:lang w:eastAsia="zh-CN"/>
        </w:rPr>
      </w:pPr>
      <w:r w:rsidRPr="002366DB">
        <w:rPr>
          <w:rFonts w:hint="eastAsia"/>
          <w:lang w:eastAsia="zh-CN"/>
        </w:rPr>
        <w:t>中国</w:t>
      </w:r>
      <w:r w:rsidRPr="002366DB">
        <w:rPr>
          <w:lang w:eastAsia="zh-CN"/>
        </w:rPr>
        <w:t>5月财新制造业PMI</w:t>
      </w:r>
    </w:p>
    <w:p w14:paraId="05FC815A" w14:textId="6926B422" w:rsidR="002366DB" w:rsidRDefault="002366DB">
      <w:pPr>
        <w:pStyle w:val="a5"/>
        <w:spacing w:before="156" w:after="156"/>
        <w:ind w:firstLine="480"/>
        <w:rPr>
          <w:lang w:eastAsia="zh-CN"/>
        </w:rPr>
      </w:pPr>
      <w:r w:rsidRPr="002366DB">
        <w:rPr>
          <w:rFonts w:hint="eastAsia"/>
          <w:lang w:eastAsia="zh-CN"/>
        </w:rPr>
        <w:lastRenderedPageBreak/>
        <w:t>澳大利亚</w:t>
      </w:r>
      <w:r w:rsidRPr="002366DB">
        <w:rPr>
          <w:lang w:eastAsia="zh-CN"/>
        </w:rPr>
        <w:t>6月现金利率(%)</w:t>
      </w:r>
    </w:p>
    <w:p w14:paraId="0CD97AAF" w14:textId="79993000" w:rsidR="002366DB" w:rsidRDefault="002366DB">
      <w:pPr>
        <w:pStyle w:val="a5"/>
        <w:spacing w:before="156" w:after="156"/>
        <w:ind w:firstLine="480"/>
        <w:rPr>
          <w:lang w:eastAsia="zh-CN"/>
        </w:rPr>
      </w:pPr>
      <w:r w:rsidRPr="002366DB">
        <w:rPr>
          <w:rFonts w:hint="eastAsia"/>
          <w:lang w:eastAsia="zh-CN"/>
        </w:rPr>
        <w:t>德国</w:t>
      </w:r>
      <w:r w:rsidRPr="002366DB">
        <w:rPr>
          <w:lang w:eastAsia="zh-CN"/>
        </w:rPr>
        <w:t>4月实际零售销售月率(%)</w:t>
      </w:r>
    </w:p>
    <w:p w14:paraId="04D35635" w14:textId="53B17460" w:rsidR="002366DB" w:rsidRDefault="002366DB">
      <w:pPr>
        <w:pStyle w:val="a5"/>
        <w:spacing w:before="156" w:after="156"/>
        <w:ind w:firstLine="480"/>
        <w:rPr>
          <w:lang w:eastAsia="zh-CN"/>
        </w:rPr>
      </w:pPr>
      <w:r w:rsidRPr="002366DB">
        <w:rPr>
          <w:rFonts w:hint="eastAsia"/>
          <w:lang w:eastAsia="zh-CN"/>
        </w:rPr>
        <w:t>德国</w:t>
      </w:r>
      <w:r w:rsidRPr="002366DB">
        <w:rPr>
          <w:lang w:eastAsia="zh-CN"/>
        </w:rPr>
        <w:t>4月实际零售销售年率(%)</w:t>
      </w:r>
    </w:p>
    <w:p w14:paraId="59CA728C" w14:textId="36183D83" w:rsidR="002366DB" w:rsidRDefault="002366DB">
      <w:pPr>
        <w:pStyle w:val="a5"/>
        <w:spacing w:before="156" w:after="156"/>
        <w:ind w:firstLine="480"/>
        <w:rPr>
          <w:lang w:eastAsia="zh-CN"/>
        </w:rPr>
      </w:pPr>
      <w:r w:rsidRPr="002366DB">
        <w:rPr>
          <w:rFonts w:hint="eastAsia"/>
          <w:lang w:eastAsia="zh-CN"/>
        </w:rPr>
        <w:t>瑞士第一季度</w:t>
      </w:r>
      <w:r w:rsidRPr="002366DB">
        <w:rPr>
          <w:lang w:eastAsia="zh-CN"/>
        </w:rPr>
        <w:t>GDP年率(%)</w:t>
      </w:r>
    </w:p>
    <w:p w14:paraId="5AFC8AA7" w14:textId="14A78BD8" w:rsidR="002366DB" w:rsidRDefault="002366DB">
      <w:pPr>
        <w:pStyle w:val="a5"/>
        <w:spacing w:before="156" w:after="156"/>
        <w:ind w:firstLine="480"/>
        <w:rPr>
          <w:lang w:eastAsia="zh-CN"/>
        </w:rPr>
      </w:pPr>
      <w:r w:rsidRPr="002366DB">
        <w:rPr>
          <w:rFonts w:hint="eastAsia"/>
          <w:lang w:eastAsia="zh-CN"/>
        </w:rPr>
        <w:t>瑞士第一季度</w:t>
      </w:r>
      <w:r w:rsidRPr="002366DB">
        <w:rPr>
          <w:lang w:eastAsia="zh-CN"/>
        </w:rPr>
        <w:t>GDP季率(%)</w:t>
      </w:r>
    </w:p>
    <w:p w14:paraId="7AAC9C1B" w14:textId="71F027CE" w:rsidR="002366DB" w:rsidRDefault="002366DB">
      <w:pPr>
        <w:pStyle w:val="a5"/>
        <w:spacing w:before="156" w:after="156"/>
        <w:ind w:firstLine="480"/>
        <w:rPr>
          <w:lang w:eastAsia="zh-CN"/>
        </w:rPr>
      </w:pPr>
      <w:r w:rsidRPr="002366DB">
        <w:rPr>
          <w:rFonts w:hint="eastAsia"/>
          <w:lang w:eastAsia="zh-CN"/>
        </w:rPr>
        <w:t>法国</w:t>
      </w:r>
      <w:r w:rsidRPr="002366DB">
        <w:rPr>
          <w:lang w:eastAsia="zh-CN"/>
        </w:rPr>
        <w:t>5月Markit制造业PMI终值</w:t>
      </w:r>
    </w:p>
    <w:p w14:paraId="2533FD14" w14:textId="28E85643" w:rsidR="002366DB" w:rsidRDefault="002366DB">
      <w:pPr>
        <w:pStyle w:val="a5"/>
        <w:spacing w:before="156" w:after="156"/>
        <w:ind w:firstLine="480"/>
        <w:rPr>
          <w:lang w:eastAsia="zh-CN"/>
        </w:rPr>
      </w:pPr>
      <w:r w:rsidRPr="002366DB">
        <w:rPr>
          <w:rFonts w:hint="eastAsia"/>
          <w:lang w:eastAsia="zh-CN"/>
        </w:rPr>
        <w:t>德国</w:t>
      </w:r>
      <w:r w:rsidRPr="002366DB">
        <w:rPr>
          <w:lang w:eastAsia="zh-CN"/>
        </w:rPr>
        <w:t>5月季调后失业率(%)</w:t>
      </w:r>
    </w:p>
    <w:p w14:paraId="7442112B" w14:textId="555CD2FA" w:rsidR="002366DB" w:rsidRDefault="002366DB">
      <w:pPr>
        <w:pStyle w:val="a5"/>
        <w:spacing w:before="156" w:after="156"/>
        <w:ind w:firstLine="480"/>
        <w:rPr>
          <w:lang w:eastAsia="zh-CN"/>
        </w:rPr>
      </w:pPr>
      <w:r w:rsidRPr="002366DB">
        <w:rPr>
          <w:rFonts w:hint="eastAsia"/>
          <w:lang w:eastAsia="zh-CN"/>
        </w:rPr>
        <w:t>德国</w:t>
      </w:r>
      <w:r w:rsidRPr="002366DB">
        <w:rPr>
          <w:lang w:eastAsia="zh-CN"/>
        </w:rPr>
        <w:t>5月季调后失业人数变动(万人)</w:t>
      </w:r>
    </w:p>
    <w:p w14:paraId="6516A958" w14:textId="2CD6069C" w:rsidR="002366DB" w:rsidRDefault="002366DB">
      <w:pPr>
        <w:pStyle w:val="a5"/>
        <w:spacing w:before="156" w:after="156"/>
        <w:ind w:firstLine="480"/>
        <w:rPr>
          <w:lang w:eastAsia="zh-CN"/>
        </w:rPr>
      </w:pPr>
      <w:r w:rsidRPr="002366DB">
        <w:rPr>
          <w:rFonts w:hint="eastAsia"/>
          <w:lang w:eastAsia="zh-CN"/>
        </w:rPr>
        <w:t>德国</w:t>
      </w:r>
      <w:r w:rsidRPr="002366DB">
        <w:rPr>
          <w:lang w:eastAsia="zh-CN"/>
        </w:rPr>
        <w:t>5月Markit制造业PMI终值</w:t>
      </w:r>
    </w:p>
    <w:p w14:paraId="29C84CDD" w14:textId="73700DAB" w:rsidR="002366DB" w:rsidRDefault="002366DB">
      <w:pPr>
        <w:pStyle w:val="a5"/>
        <w:spacing w:before="156" w:after="156"/>
        <w:ind w:firstLine="480"/>
        <w:rPr>
          <w:lang w:eastAsia="zh-CN"/>
        </w:rPr>
      </w:pPr>
      <w:r w:rsidRPr="002366DB">
        <w:rPr>
          <w:rFonts w:hint="eastAsia"/>
          <w:lang w:eastAsia="zh-CN"/>
        </w:rPr>
        <w:t>欧元区</w:t>
      </w:r>
      <w:r w:rsidRPr="002366DB">
        <w:rPr>
          <w:lang w:eastAsia="zh-CN"/>
        </w:rPr>
        <w:t>5月Markit制造业PMI终值</w:t>
      </w:r>
    </w:p>
    <w:p w14:paraId="2CC94432" w14:textId="29AE17A6" w:rsidR="002366DB" w:rsidRDefault="002366DB">
      <w:pPr>
        <w:pStyle w:val="a5"/>
        <w:spacing w:before="156" w:after="156"/>
        <w:ind w:firstLine="480"/>
        <w:rPr>
          <w:lang w:eastAsia="zh-CN"/>
        </w:rPr>
      </w:pPr>
      <w:r w:rsidRPr="002366DB">
        <w:rPr>
          <w:rFonts w:hint="eastAsia"/>
          <w:lang w:eastAsia="zh-CN"/>
        </w:rPr>
        <w:t>英国</w:t>
      </w:r>
      <w:r w:rsidRPr="002366DB">
        <w:rPr>
          <w:lang w:eastAsia="zh-CN"/>
        </w:rPr>
        <w:t>5月Markit制造业PMI终值</w:t>
      </w:r>
    </w:p>
    <w:p w14:paraId="16CE11B3" w14:textId="547AC116" w:rsidR="002366DB" w:rsidRDefault="002366DB">
      <w:pPr>
        <w:pStyle w:val="a5"/>
        <w:spacing w:before="156" w:after="156"/>
        <w:ind w:firstLine="480"/>
        <w:rPr>
          <w:lang w:eastAsia="zh-CN"/>
        </w:rPr>
      </w:pPr>
      <w:r w:rsidRPr="002366DB">
        <w:rPr>
          <w:rFonts w:hint="eastAsia"/>
          <w:lang w:eastAsia="zh-CN"/>
        </w:rPr>
        <w:t>欧元区</w:t>
      </w:r>
      <w:r w:rsidRPr="002366DB">
        <w:rPr>
          <w:lang w:eastAsia="zh-CN"/>
        </w:rPr>
        <w:t>5月未季调CPI年率初值(%)</w:t>
      </w:r>
    </w:p>
    <w:p w14:paraId="044E4828" w14:textId="3AE292B6" w:rsidR="002366DB" w:rsidRDefault="002366DB">
      <w:pPr>
        <w:pStyle w:val="a5"/>
        <w:spacing w:before="156" w:after="156"/>
        <w:ind w:firstLine="480"/>
        <w:rPr>
          <w:lang w:eastAsia="zh-CN"/>
        </w:rPr>
      </w:pPr>
      <w:r w:rsidRPr="002366DB">
        <w:rPr>
          <w:rFonts w:hint="eastAsia"/>
          <w:lang w:eastAsia="zh-CN"/>
        </w:rPr>
        <w:t>欧元区</w:t>
      </w:r>
      <w:r w:rsidRPr="002366DB">
        <w:rPr>
          <w:lang w:eastAsia="zh-CN"/>
        </w:rPr>
        <w:t>5月未季调核心CPI年率初值(%)</w:t>
      </w:r>
    </w:p>
    <w:p w14:paraId="21232889" w14:textId="788B7434" w:rsidR="002366DB" w:rsidRDefault="002366DB">
      <w:pPr>
        <w:pStyle w:val="a5"/>
        <w:spacing w:before="156" w:after="156"/>
        <w:ind w:firstLine="480"/>
        <w:rPr>
          <w:lang w:eastAsia="zh-CN"/>
        </w:rPr>
      </w:pPr>
      <w:r w:rsidRPr="002366DB">
        <w:rPr>
          <w:rFonts w:hint="eastAsia"/>
          <w:lang w:eastAsia="zh-CN"/>
        </w:rPr>
        <w:t>欧元区</w:t>
      </w:r>
      <w:r w:rsidRPr="002366DB">
        <w:rPr>
          <w:lang w:eastAsia="zh-CN"/>
        </w:rPr>
        <w:t>4月失业率(%)</w:t>
      </w:r>
    </w:p>
    <w:p w14:paraId="18F5F9BC" w14:textId="2904F868" w:rsidR="002366DB" w:rsidRDefault="002366DB">
      <w:pPr>
        <w:pStyle w:val="a5"/>
        <w:spacing w:before="156" w:after="156"/>
        <w:ind w:firstLine="480"/>
        <w:rPr>
          <w:lang w:eastAsia="zh-CN"/>
        </w:rPr>
      </w:pPr>
      <w:r w:rsidRPr="002366DB">
        <w:rPr>
          <w:rFonts w:hint="eastAsia"/>
          <w:lang w:eastAsia="zh-CN"/>
        </w:rPr>
        <w:t>加拿大</w:t>
      </w:r>
      <w:r w:rsidRPr="002366DB">
        <w:rPr>
          <w:lang w:eastAsia="zh-CN"/>
        </w:rPr>
        <w:t>3月季调后GDP月率(%)</w:t>
      </w:r>
    </w:p>
    <w:p w14:paraId="3EBA7689" w14:textId="6ED9E2ED" w:rsidR="002366DB" w:rsidRDefault="002366DB">
      <w:pPr>
        <w:pStyle w:val="a5"/>
        <w:spacing w:before="156" w:after="156"/>
        <w:ind w:firstLine="480"/>
        <w:rPr>
          <w:lang w:eastAsia="zh-CN"/>
        </w:rPr>
      </w:pPr>
      <w:r w:rsidRPr="002366DB">
        <w:rPr>
          <w:rFonts w:hint="eastAsia"/>
          <w:lang w:eastAsia="zh-CN"/>
        </w:rPr>
        <w:t>加拿大</w:t>
      </w:r>
      <w:r w:rsidRPr="002366DB">
        <w:rPr>
          <w:lang w:eastAsia="zh-CN"/>
        </w:rPr>
        <w:t>3月季调后GDP年率(%)</w:t>
      </w:r>
    </w:p>
    <w:p w14:paraId="37E3953C" w14:textId="38C3B918" w:rsidR="002366DB" w:rsidRDefault="002366DB">
      <w:pPr>
        <w:pStyle w:val="a5"/>
        <w:spacing w:before="156" w:after="156"/>
        <w:ind w:firstLine="480"/>
        <w:rPr>
          <w:lang w:eastAsia="zh-CN"/>
        </w:rPr>
      </w:pPr>
      <w:r w:rsidRPr="002366DB">
        <w:rPr>
          <w:rFonts w:hint="eastAsia"/>
          <w:lang w:eastAsia="zh-CN"/>
        </w:rPr>
        <w:t>美国</w:t>
      </w:r>
      <w:r w:rsidRPr="002366DB">
        <w:rPr>
          <w:lang w:eastAsia="zh-CN"/>
        </w:rPr>
        <w:t>5月Markit制造业PMI终值</w:t>
      </w:r>
    </w:p>
    <w:p w14:paraId="47A09E31" w14:textId="7632F136" w:rsidR="002366DB" w:rsidRDefault="002366DB">
      <w:pPr>
        <w:pStyle w:val="a5"/>
        <w:spacing w:before="156" w:after="156"/>
        <w:ind w:firstLine="480"/>
        <w:rPr>
          <w:lang w:eastAsia="zh-CN"/>
        </w:rPr>
      </w:pPr>
      <w:r w:rsidRPr="002366DB">
        <w:rPr>
          <w:lang w:eastAsia="zh-CN"/>
        </w:rPr>
        <w:t>美国5月ISM制造业PMI</w:t>
      </w:r>
    </w:p>
    <w:p w14:paraId="19BBD588" w14:textId="451DA54C" w:rsidR="00425B93" w:rsidRDefault="002366DB">
      <w:pPr>
        <w:pStyle w:val="a5"/>
        <w:spacing w:before="156" w:after="156"/>
        <w:ind w:firstLine="482"/>
        <w:rPr>
          <w:b/>
          <w:bCs/>
          <w:lang w:eastAsia="zh-CN"/>
        </w:rPr>
      </w:pPr>
      <w:r>
        <w:rPr>
          <w:b/>
          <w:bCs/>
          <w:lang w:eastAsia="zh-CN"/>
        </w:rPr>
        <w:t>6</w:t>
      </w:r>
      <w:r w:rsidR="008659C3">
        <w:rPr>
          <w:rFonts w:hint="eastAsia"/>
          <w:b/>
          <w:bCs/>
          <w:lang w:eastAsia="zh-CN"/>
        </w:rPr>
        <w:t>月</w:t>
      </w:r>
      <w:r>
        <w:rPr>
          <w:b/>
          <w:bCs/>
          <w:lang w:eastAsia="zh-CN"/>
        </w:rPr>
        <w:t>2</w:t>
      </w:r>
      <w:r w:rsidR="008659C3">
        <w:rPr>
          <w:rFonts w:hint="eastAsia"/>
          <w:b/>
          <w:bCs/>
          <w:lang w:eastAsia="zh-CN"/>
        </w:rPr>
        <w:t>日</w:t>
      </w:r>
    </w:p>
    <w:p w14:paraId="4F8D3261" w14:textId="5E03E8A2" w:rsidR="002366DB" w:rsidRDefault="002366DB">
      <w:pPr>
        <w:pStyle w:val="a5"/>
        <w:spacing w:before="156" w:after="156"/>
        <w:ind w:firstLine="480"/>
        <w:rPr>
          <w:lang w:eastAsia="zh-CN"/>
        </w:rPr>
      </w:pPr>
      <w:r w:rsidRPr="002366DB">
        <w:rPr>
          <w:rFonts w:hint="eastAsia"/>
          <w:lang w:eastAsia="zh-CN"/>
        </w:rPr>
        <w:t>澳大利亚第一季度</w:t>
      </w:r>
      <w:r w:rsidRPr="002366DB">
        <w:rPr>
          <w:lang w:eastAsia="zh-CN"/>
        </w:rPr>
        <w:t>GDP季率(%)</w:t>
      </w:r>
    </w:p>
    <w:p w14:paraId="570088E9" w14:textId="3DD61A64" w:rsidR="002366DB" w:rsidRDefault="002366DB">
      <w:pPr>
        <w:pStyle w:val="a5"/>
        <w:spacing w:before="156" w:after="156"/>
        <w:ind w:firstLine="480"/>
        <w:rPr>
          <w:lang w:eastAsia="zh-CN"/>
        </w:rPr>
      </w:pPr>
      <w:r w:rsidRPr="002366DB">
        <w:rPr>
          <w:rFonts w:hint="eastAsia"/>
          <w:lang w:eastAsia="zh-CN"/>
        </w:rPr>
        <w:t>澳大利亚第一季度</w:t>
      </w:r>
      <w:r w:rsidRPr="002366DB">
        <w:rPr>
          <w:lang w:eastAsia="zh-CN"/>
        </w:rPr>
        <w:t>GDP年率(%)</w:t>
      </w:r>
    </w:p>
    <w:p w14:paraId="59BF4133" w14:textId="167F1FA5" w:rsidR="002366DB" w:rsidRDefault="002366DB">
      <w:pPr>
        <w:pStyle w:val="a5"/>
        <w:spacing w:before="156" w:after="156"/>
        <w:ind w:firstLine="480"/>
        <w:rPr>
          <w:lang w:eastAsia="zh-CN"/>
        </w:rPr>
      </w:pPr>
      <w:r w:rsidRPr="002366DB">
        <w:rPr>
          <w:rFonts w:hint="eastAsia"/>
          <w:lang w:eastAsia="zh-CN"/>
        </w:rPr>
        <w:t>英国</w:t>
      </w:r>
      <w:r w:rsidRPr="002366DB">
        <w:rPr>
          <w:lang w:eastAsia="zh-CN"/>
        </w:rPr>
        <w:t>4月央行抵押贷款许可(万件)</w:t>
      </w:r>
    </w:p>
    <w:p w14:paraId="19BBD595" w14:textId="005D9B1D" w:rsidR="00425B93" w:rsidRDefault="002366DB">
      <w:pPr>
        <w:pStyle w:val="a5"/>
        <w:spacing w:before="156" w:after="156"/>
        <w:ind w:firstLine="482"/>
        <w:rPr>
          <w:b/>
          <w:bCs/>
          <w:lang w:eastAsia="zh-CN"/>
        </w:rPr>
      </w:pPr>
      <w:r>
        <w:rPr>
          <w:b/>
          <w:bCs/>
          <w:lang w:eastAsia="zh-CN"/>
        </w:rPr>
        <w:t>6</w:t>
      </w:r>
      <w:r w:rsidR="008659C3">
        <w:rPr>
          <w:rFonts w:hint="eastAsia"/>
          <w:b/>
          <w:bCs/>
          <w:lang w:eastAsia="zh-CN"/>
        </w:rPr>
        <w:t>月</w:t>
      </w:r>
      <w:r>
        <w:rPr>
          <w:b/>
          <w:bCs/>
          <w:lang w:eastAsia="zh-CN"/>
        </w:rPr>
        <w:t>3</w:t>
      </w:r>
      <w:r w:rsidR="008659C3">
        <w:rPr>
          <w:rFonts w:hint="eastAsia"/>
          <w:b/>
          <w:bCs/>
          <w:lang w:eastAsia="zh-CN"/>
        </w:rPr>
        <w:t>日</w:t>
      </w:r>
    </w:p>
    <w:p w14:paraId="7EC3F87D" w14:textId="783E3652" w:rsidR="002366DB" w:rsidRDefault="002366DB">
      <w:pPr>
        <w:pStyle w:val="a5"/>
        <w:spacing w:before="156" w:after="156"/>
        <w:ind w:firstLine="480"/>
        <w:rPr>
          <w:lang w:eastAsia="zh-CN"/>
        </w:rPr>
      </w:pPr>
      <w:r w:rsidRPr="002366DB">
        <w:rPr>
          <w:rFonts w:hint="eastAsia"/>
          <w:lang w:eastAsia="zh-CN"/>
        </w:rPr>
        <w:lastRenderedPageBreak/>
        <w:t>美国截至</w:t>
      </w:r>
      <w:r w:rsidRPr="002366DB">
        <w:rPr>
          <w:lang w:eastAsia="zh-CN"/>
        </w:rPr>
        <w:t>5月28日当周API原油库存变动(万桶)</w:t>
      </w:r>
    </w:p>
    <w:p w14:paraId="05B6E513" w14:textId="2ADC0848" w:rsidR="002366DB" w:rsidRDefault="002366DB">
      <w:pPr>
        <w:pStyle w:val="a5"/>
        <w:spacing w:before="156" w:after="156"/>
        <w:ind w:firstLine="480"/>
        <w:rPr>
          <w:lang w:eastAsia="zh-CN"/>
        </w:rPr>
      </w:pPr>
      <w:r w:rsidRPr="002366DB">
        <w:rPr>
          <w:rFonts w:hint="eastAsia"/>
          <w:lang w:eastAsia="zh-CN"/>
        </w:rPr>
        <w:t>美国截至</w:t>
      </w:r>
      <w:r w:rsidRPr="002366DB">
        <w:rPr>
          <w:lang w:eastAsia="zh-CN"/>
        </w:rPr>
        <w:t>5月28日当周API汽油库存变动(万桶)</w:t>
      </w:r>
    </w:p>
    <w:p w14:paraId="56366DD6" w14:textId="003FB139" w:rsidR="002366DB" w:rsidRDefault="002366DB">
      <w:pPr>
        <w:pStyle w:val="a5"/>
        <w:spacing w:before="156" w:after="156"/>
        <w:ind w:firstLine="480"/>
        <w:rPr>
          <w:lang w:eastAsia="zh-CN"/>
        </w:rPr>
      </w:pPr>
      <w:r w:rsidRPr="002366DB">
        <w:rPr>
          <w:rFonts w:hint="eastAsia"/>
          <w:lang w:eastAsia="zh-CN"/>
        </w:rPr>
        <w:t>澳大利亚</w:t>
      </w:r>
      <w:r w:rsidRPr="002366DB">
        <w:rPr>
          <w:lang w:eastAsia="zh-CN"/>
        </w:rPr>
        <w:t>4月商品及服务贸易帐(亿澳元)</w:t>
      </w:r>
    </w:p>
    <w:p w14:paraId="267E89FC" w14:textId="5406C733" w:rsidR="002366DB" w:rsidRDefault="002366DB">
      <w:pPr>
        <w:pStyle w:val="a5"/>
        <w:spacing w:before="156" w:after="156"/>
        <w:ind w:firstLine="480"/>
        <w:rPr>
          <w:lang w:eastAsia="zh-CN"/>
        </w:rPr>
      </w:pPr>
      <w:r w:rsidRPr="002366DB">
        <w:rPr>
          <w:rFonts w:hint="eastAsia"/>
          <w:lang w:eastAsia="zh-CN"/>
        </w:rPr>
        <w:t>澳大利亚</w:t>
      </w:r>
      <w:r w:rsidRPr="002366DB">
        <w:rPr>
          <w:lang w:eastAsia="zh-CN"/>
        </w:rPr>
        <w:t>4月进口月率(%)</w:t>
      </w:r>
    </w:p>
    <w:p w14:paraId="2314C46C" w14:textId="6CF0D6FB" w:rsidR="002366DB" w:rsidRDefault="002366DB">
      <w:pPr>
        <w:pStyle w:val="a5"/>
        <w:spacing w:before="156" w:after="156"/>
        <w:ind w:firstLine="480"/>
        <w:rPr>
          <w:lang w:eastAsia="zh-CN"/>
        </w:rPr>
      </w:pPr>
      <w:r w:rsidRPr="002366DB">
        <w:rPr>
          <w:rFonts w:hint="eastAsia"/>
          <w:lang w:eastAsia="zh-CN"/>
        </w:rPr>
        <w:t>澳大利亚</w:t>
      </w:r>
      <w:r w:rsidRPr="002366DB">
        <w:rPr>
          <w:lang w:eastAsia="zh-CN"/>
        </w:rPr>
        <w:t>4月出口月率(%)</w:t>
      </w:r>
    </w:p>
    <w:p w14:paraId="6E7456BD" w14:textId="7AA343E5" w:rsidR="002366DB" w:rsidRDefault="002366DB">
      <w:pPr>
        <w:pStyle w:val="a5"/>
        <w:spacing w:before="156" w:after="156"/>
        <w:ind w:firstLine="480"/>
        <w:rPr>
          <w:lang w:eastAsia="zh-CN"/>
        </w:rPr>
      </w:pPr>
      <w:r w:rsidRPr="002366DB">
        <w:rPr>
          <w:rFonts w:hint="eastAsia"/>
          <w:lang w:eastAsia="zh-CN"/>
        </w:rPr>
        <w:t>中国</w:t>
      </w:r>
      <w:r w:rsidRPr="002366DB">
        <w:rPr>
          <w:lang w:eastAsia="zh-CN"/>
        </w:rPr>
        <w:t>5月财新服务业PMI</w:t>
      </w:r>
    </w:p>
    <w:p w14:paraId="647096DC" w14:textId="7C94AC5F" w:rsidR="002366DB" w:rsidRDefault="002366DB">
      <w:pPr>
        <w:pStyle w:val="a5"/>
        <w:spacing w:before="156" w:after="156"/>
        <w:ind w:firstLine="480"/>
        <w:rPr>
          <w:lang w:eastAsia="zh-CN"/>
        </w:rPr>
      </w:pPr>
      <w:r w:rsidRPr="002366DB">
        <w:rPr>
          <w:rFonts w:hint="eastAsia"/>
          <w:lang w:eastAsia="zh-CN"/>
        </w:rPr>
        <w:t>英国</w:t>
      </w:r>
      <w:r w:rsidRPr="002366DB">
        <w:rPr>
          <w:lang w:eastAsia="zh-CN"/>
        </w:rPr>
        <w:t>5月Markit服务业PMI终值</w:t>
      </w:r>
    </w:p>
    <w:p w14:paraId="6EA5BDA8" w14:textId="620F6792" w:rsidR="002366DB" w:rsidRDefault="002366DB">
      <w:pPr>
        <w:pStyle w:val="a5"/>
        <w:spacing w:before="156" w:after="156"/>
        <w:ind w:firstLine="480"/>
        <w:rPr>
          <w:lang w:eastAsia="zh-CN"/>
        </w:rPr>
      </w:pPr>
      <w:r w:rsidRPr="002366DB">
        <w:rPr>
          <w:rFonts w:hint="eastAsia"/>
          <w:lang w:eastAsia="zh-CN"/>
        </w:rPr>
        <w:t>美国</w:t>
      </w:r>
      <w:r w:rsidRPr="002366DB">
        <w:rPr>
          <w:lang w:eastAsia="zh-CN"/>
        </w:rPr>
        <w:t>5月挑战者企业裁员人数(万)</w:t>
      </w:r>
    </w:p>
    <w:p w14:paraId="0405474D" w14:textId="4E2D7A82" w:rsidR="002366DB" w:rsidRDefault="002366DB">
      <w:pPr>
        <w:pStyle w:val="a5"/>
        <w:spacing w:before="156" w:after="156"/>
        <w:ind w:firstLine="480"/>
        <w:rPr>
          <w:lang w:eastAsia="zh-CN"/>
        </w:rPr>
      </w:pPr>
      <w:r w:rsidRPr="002366DB">
        <w:rPr>
          <w:rFonts w:hint="eastAsia"/>
          <w:lang w:eastAsia="zh-CN"/>
        </w:rPr>
        <w:t>美国</w:t>
      </w:r>
      <w:r w:rsidRPr="002366DB">
        <w:rPr>
          <w:lang w:eastAsia="zh-CN"/>
        </w:rPr>
        <w:t>5月ADP就业人数(万)</w:t>
      </w:r>
    </w:p>
    <w:p w14:paraId="41C1AF4F" w14:textId="5B1A82B0" w:rsidR="002366DB" w:rsidRDefault="002366DB">
      <w:pPr>
        <w:pStyle w:val="a5"/>
        <w:spacing w:before="156" w:after="156"/>
        <w:ind w:firstLine="480"/>
        <w:rPr>
          <w:lang w:eastAsia="zh-CN"/>
        </w:rPr>
      </w:pPr>
      <w:r w:rsidRPr="002366DB">
        <w:rPr>
          <w:rFonts w:hint="eastAsia"/>
          <w:lang w:eastAsia="zh-CN"/>
        </w:rPr>
        <w:t>美国截至</w:t>
      </w:r>
      <w:r w:rsidRPr="002366DB">
        <w:rPr>
          <w:lang w:eastAsia="zh-CN"/>
        </w:rPr>
        <w:t>5月29日当周初请失业金人数(万)</w:t>
      </w:r>
    </w:p>
    <w:p w14:paraId="23147414" w14:textId="45E4F06E" w:rsidR="002366DB" w:rsidRDefault="002366DB">
      <w:pPr>
        <w:pStyle w:val="a5"/>
        <w:spacing w:before="156" w:after="156"/>
        <w:ind w:firstLine="480"/>
        <w:rPr>
          <w:lang w:eastAsia="zh-CN"/>
        </w:rPr>
      </w:pPr>
      <w:r w:rsidRPr="002366DB">
        <w:rPr>
          <w:rFonts w:hint="eastAsia"/>
          <w:lang w:eastAsia="zh-CN"/>
        </w:rPr>
        <w:t>美国截至</w:t>
      </w:r>
      <w:r w:rsidRPr="002366DB">
        <w:rPr>
          <w:lang w:eastAsia="zh-CN"/>
        </w:rPr>
        <w:t>5月22日当周续请失业金人数(万)</w:t>
      </w:r>
    </w:p>
    <w:p w14:paraId="7AE87324" w14:textId="74736663" w:rsidR="002366DB" w:rsidRDefault="002366DB">
      <w:pPr>
        <w:pStyle w:val="a5"/>
        <w:spacing w:before="156" w:after="156"/>
        <w:ind w:firstLine="480"/>
        <w:rPr>
          <w:lang w:eastAsia="zh-CN"/>
        </w:rPr>
      </w:pPr>
      <w:r w:rsidRPr="002366DB">
        <w:rPr>
          <w:rFonts w:hint="eastAsia"/>
          <w:lang w:eastAsia="zh-CN"/>
        </w:rPr>
        <w:t>美国</w:t>
      </w:r>
      <w:r w:rsidRPr="002366DB">
        <w:rPr>
          <w:lang w:eastAsia="zh-CN"/>
        </w:rPr>
        <w:t>5月ISM非制造业PMI</w:t>
      </w:r>
    </w:p>
    <w:p w14:paraId="0A2BDCD4" w14:textId="775F1863" w:rsidR="002366DB" w:rsidRDefault="002366DB">
      <w:pPr>
        <w:pStyle w:val="a5"/>
        <w:spacing w:before="156" w:after="156"/>
        <w:ind w:firstLine="480"/>
        <w:rPr>
          <w:lang w:eastAsia="zh-CN"/>
        </w:rPr>
      </w:pPr>
      <w:r w:rsidRPr="002366DB">
        <w:rPr>
          <w:rFonts w:hint="eastAsia"/>
          <w:lang w:eastAsia="zh-CN"/>
        </w:rPr>
        <w:t>美国截至</w:t>
      </w:r>
      <w:r w:rsidRPr="002366DB">
        <w:rPr>
          <w:lang w:eastAsia="zh-CN"/>
        </w:rPr>
        <w:t>5月28日当周EIA原油库存变动(万桶)</w:t>
      </w:r>
    </w:p>
    <w:p w14:paraId="163778BE" w14:textId="77749E2A" w:rsidR="002366DB" w:rsidRDefault="002366DB">
      <w:pPr>
        <w:pStyle w:val="a5"/>
        <w:spacing w:before="156" w:after="156"/>
        <w:ind w:firstLine="480"/>
        <w:rPr>
          <w:lang w:eastAsia="zh-CN"/>
        </w:rPr>
      </w:pPr>
      <w:r w:rsidRPr="002366DB">
        <w:rPr>
          <w:rFonts w:hint="eastAsia"/>
          <w:lang w:eastAsia="zh-CN"/>
        </w:rPr>
        <w:t>美国截至</w:t>
      </w:r>
      <w:r w:rsidRPr="002366DB">
        <w:rPr>
          <w:lang w:eastAsia="zh-CN"/>
        </w:rPr>
        <w:t>5月28日当周EIA精炼油库存变动(万桶)</w:t>
      </w:r>
    </w:p>
    <w:p w14:paraId="4FE4AC5D" w14:textId="0AB3A0C4" w:rsidR="002366DB" w:rsidRDefault="002366DB">
      <w:pPr>
        <w:pStyle w:val="a5"/>
        <w:spacing w:before="156" w:after="156"/>
        <w:ind w:firstLine="480"/>
        <w:rPr>
          <w:rFonts w:hint="eastAsia"/>
          <w:lang w:eastAsia="zh-CN"/>
        </w:rPr>
      </w:pPr>
      <w:r w:rsidRPr="002366DB">
        <w:rPr>
          <w:rFonts w:hint="eastAsia"/>
          <w:lang w:eastAsia="zh-CN"/>
        </w:rPr>
        <w:t>美国截至</w:t>
      </w:r>
      <w:r w:rsidRPr="002366DB">
        <w:rPr>
          <w:lang w:eastAsia="zh-CN"/>
        </w:rPr>
        <w:t>5月28日当周EIA汽油库存变动(万桶)</w:t>
      </w:r>
    </w:p>
    <w:p w14:paraId="19BBD5A6" w14:textId="1FCE085B" w:rsidR="00425B93" w:rsidRDefault="002366DB">
      <w:pPr>
        <w:pStyle w:val="a5"/>
        <w:spacing w:before="156" w:after="156"/>
        <w:ind w:firstLine="482"/>
        <w:rPr>
          <w:b/>
          <w:bCs/>
          <w:lang w:eastAsia="zh-CN"/>
        </w:rPr>
      </w:pPr>
      <w:r>
        <w:rPr>
          <w:b/>
          <w:bCs/>
          <w:lang w:eastAsia="zh-CN"/>
        </w:rPr>
        <w:t>6</w:t>
      </w:r>
      <w:r w:rsidR="008659C3">
        <w:rPr>
          <w:rFonts w:hint="eastAsia"/>
          <w:b/>
          <w:bCs/>
          <w:lang w:eastAsia="zh-CN"/>
        </w:rPr>
        <w:t>月</w:t>
      </w:r>
      <w:r>
        <w:rPr>
          <w:b/>
          <w:bCs/>
          <w:lang w:eastAsia="zh-CN"/>
        </w:rPr>
        <w:t>4</w:t>
      </w:r>
      <w:r w:rsidR="008659C3">
        <w:rPr>
          <w:rFonts w:hint="eastAsia"/>
          <w:b/>
          <w:bCs/>
          <w:lang w:eastAsia="zh-CN"/>
        </w:rPr>
        <w:t>日</w:t>
      </w:r>
    </w:p>
    <w:p w14:paraId="6C2AFC85" w14:textId="334C304C" w:rsidR="002366DB" w:rsidRDefault="002366DB">
      <w:pPr>
        <w:pStyle w:val="a5"/>
        <w:spacing w:before="156" w:after="156"/>
        <w:ind w:firstLine="480"/>
        <w:rPr>
          <w:lang w:eastAsia="zh-CN"/>
        </w:rPr>
      </w:pPr>
      <w:r w:rsidRPr="002366DB">
        <w:rPr>
          <w:rFonts w:hint="eastAsia"/>
          <w:lang w:eastAsia="zh-CN"/>
        </w:rPr>
        <w:t>澳大利亚</w:t>
      </w:r>
      <w:r w:rsidRPr="002366DB">
        <w:rPr>
          <w:lang w:eastAsia="zh-CN"/>
        </w:rPr>
        <w:t>4月投资者贷款值月率(%)</w:t>
      </w:r>
    </w:p>
    <w:p w14:paraId="0CE59C12" w14:textId="58873EDB" w:rsidR="002366DB" w:rsidRDefault="002366DB">
      <w:pPr>
        <w:pStyle w:val="a5"/>
        <w:spacing w:before="156" w:after="156"/>
        <w:ind w:firstLine="480"/>
        <w:rPr>
          <w:lang w:eastAsia="zh-CN"/>
        </w:rPr>
      </w:pPr>
      <w:r w:rsidRPr="002366DB">
        <w:rPr>
          <w:rFonts w:hint="eastAsia"/>
          <w:lang w:eastAsia="zh-CN"/>
        </w:rPr>
        <w:t>欧元区</w:t>
      </w:r>
      <w:r w:rsidRPr="002366DB">
        <w:rPr>
          <w:lang w:eastAsia="zh-CN"/>
        </w:rPr>
        <w:t>4月零售销售月率(%)</w:t>
      </w:r>
    </w:p>
    <w:p w14:paraId="578343AE" w14:textId="64D7352B" w:rsidR="002366DB" w:rsidRDefault="002366DB">
      <w:pPr>
        <w:pStyle w:val="a5"/>
        <w:spacing w:before="156" w:after="156"/>
        <w:ind w:firstLine="480"/>
        <w:rPr>
          <w:lang w:eastAsia="zh-CN"/>
        </w:rPr>
      </w:pPr>
      <w:r w:rsidRPr="002366DB">
        <w:rPr>
          <w:rFonts w:hint="eastAsia"/>
          <w:lang w:eastAsia="zh-CN"/>
        </w:rPr>
        <w:t>欧元区</w:t>
      </w:r>
      <w:r w:rsidRPr="002366DB">
        <w:rPr>
          <w:lang w:eastAsia="zh-CN"/>
        </w:rPr>
        <w:t>4月零售销售年率(%)</w:t>
      </w:r>
    </w:p>
    <w:p w14:paraId="2F1FAA82" w14:textId="5B9A6EB2" w:rsidR="002366DB" w:rsidRDefault="002366DB">
      <w:pPr>
        <w:pStyle w:val="a5"/>
        <w:spacing w:before="156" w:after="156"/>
        <w:ind w:firstLine="480"/>
        <w:rPr>
          <w:lang w:eastAsia="zh-CN"/>
        </w:rPr>
      </w:pPr>
      <w:r w:rsidRPr="002366DB">
        <w:rPr>
          <w:rFonts w:hint="eastAsia"/>
          <w:lang w:eastAsia="zh-CN"/>
        </w:rPr>
        <w:t>美国</w:t>
      </w:r>
      <w:r w:rsidRPr="002366DB">
        <w:rPr>
          <w:lang w:eastAsia="zh-CN"/>
        </w:rPr>
        <w:t>5月非农就业人口变动季调后(万)</w:t>
      </w:r>
    </w:p>
    <w:p w14:paraId="4E959B39" w14:textId="6C618A4F" w:rsidR="002366DB" w:rsidRDefault="002366DB">
      <w:pPr>
        <w:pStyle w:val="a5"/>
        <w:spacing w:before="156" w:after="156"/>
        <w:ind w:firstLine="480"/>
        <w:rPr>
          <w:lang w:eastAsia="zh-CN"/>
        </w:rPr>
      </w:pPr>
      <w:r w:rsidRPr="002366DB">
        <w:rPr>
          <w:rFonts w:hint="eastAsia"/>
          <w:lang w:eastAsia="zh-CN"/>
        </w:rPr>
        <w:t>美国</w:t>
      </w:r>
      <w:r w:rsidRPr="002366DB">
        <w:rPr>
          <w:lang w:eastAsia="zh-CN"/>
        </w:rPr>
        <w:t>5月平均每小时工资年率(%)</w:t>
      </w:r>
    </w:p>
    <w:p w14:paraId="7503F0BB" w14:textId="39E73FAA" w:rsidR="002366DB" w:rsidRDefault="002366DB">
      <w:pPr>
        <w:pStyle w:val="a5"/>
        <w:spacing w:before="156" w:after="156"/>
        <w:ind w:firstLine="480"/>
        <w:rPr>
          <w:lang w:eastAsia="zh-CN"/>
        </w:rPr>
      </w:pPr>
      <w:r w:rsidRPr="002366DB">
        <w:rPr>
          <w:rFonts w:hint="eastAsia"/>
          <w:lang w:eastAsia="zh-CN"/>
        </w:rPr>
        <w:t>美国</w:t>
      </w:r>
      <w:r w:rsidRPr="002366DB">
        <w:rPr>
          <w:lang w:eastAsia="zh-CN"/>
        </w:rPr>
        <w:t>5月制造业就业人口变动季调后(万)</w:t>
      </w:r>
    </w:p>
    <w:p w14:paraId="778220A4" w14:textId="7F4EF196" w:rsidR="002366DB" w:rsidRDefault="002366DB">
      <w:pPr>
        <w:pStyle w:val="a5"/>
        <w:spacing w:before="156" w:after="156"/>
        <w:ind w:firstLine="480"/>
        <w:rPr>
          <w:lang w:eastAsia="zh-CN"/>
        </w:rPr>
      </w:pPr>
      <w:r w:rsidRPr="002366DB">
        <w:rPr>
          <w:rFonts w:hint="eastAsia"/>
          <w:lang w:eastAsia="zh-CN"/>
        </w:rPr>
        <w:t>美国</w:t>
      </w:r>
      <w:r w:rsidRPr="002366DB">
        <w:rPr>
          <w:lang w:eastAsia="zh-CN"/>
        </w:rPr>
        <w:t>5月劳动参与率(%)</w:t>
      </w:r>
    </w:p>
    <w:p w14:paraId="1296FD0F" w14:textId="3FB54366" w:rsidR="002366DB" w:rsidRDefault="002366DB">
      <w:pPr>
        <w:pStyle w:val="a5"/>
        <w:spacing w:before="156" w:after="156"/>
        <w:ind w:firstLine="480"/>
        <w:rPr>
          <w:lang w:eastAsia="zh-CN"/>
        </w:rPr>
      </w:pPr>
      <w:r w:rsidRPr="002366DB">
        <w:rPr>
          <w:rFonts w:hint="eastAsia"/>
          <w:lang w:eastAsia="zh-CN"/>
        </w:rPr>
        <w:lastRenderedPageBreak/>
        <w:t>美国</w:t>
      </w:r>
      <w:r w:rsidRPr="002366DB">
        <w:rPr>
          <w:lang w:eastAsia="zh-CN"/>
        </w:rPr>
        <w:t>5月私营企业非农就业人数变动(万)</w:t>
      </w:r>
    </w:p>
    <w:p w14:paraId="27E78150" w14:textId="3FE89A2F" w:rsidR="002366DB" w:rsidRDefault="002366DB">
      <w:pPr>
        <w:pStyle w:val="a5"/>
        <w:spacing w:before="156" w:after="156"/>
        <w:ind w:firstLine="480"/>
        <w:rPr>
          <w:lang w:eastAsia="zh-CN"/>
        </w:rPr>
      </w:pPr>
      <w:r w:rsidRPr="002366DB">
        <w:rPr>
          <w:rFonts w:hint="eastAsia"/>
          <w:lang w:eastAsia="zh-CN"/>
        </w:rPr>
        <w:t>美国</w:t>
      </w:r>
      <w:r w:rsidRPr="002366DB">
        <w:rPr>
          <w:lang w:eastAsia="zh-CN"/>
        </w:rPr>
        <w:t>5月失业率(%)</w:t>
      </w:r>
    </w:p>
    <w:p w14:paraId="596FD32A" w14:textId="447136BD" w:rsidR="002366DB" w:rsidRDefault="002366DB">
      <w:pPr>
        <w:pStyle w:val="a5"/>
        <w:spacing w:before="156" w:after="156"/>
        <w:ind w:firstLine="480"/>
        <w:rPr>
          <w:lang w:eastAsia="zh-CN"/>
        </w:rPr>
      </w:pPr>
      <w:r w:rsidRPr="002366DB">
        <w:rPr>
          <w:rFonts w:hint="eastAsia"/>
          <w:lang w:eastAsia="zh-CN"/>
        </w:rPr>
        <w:t>加拿大</w:t>
      </w:r>
      <w:r w:rsidRPr="002366DB">
        <w:rPr>
          <w:lang w:eastAsia="zh-CN"/>
        </w:rPr>
        <w:t>5月失业率(%)</w:t>
      </w:r>
    </w:p>
    <w:p w14:paraId="464DCD7F" w14:textId="730A7051" w:rsidR="002366DB" w:rsidRDefault="002366DB">
      <w:pPr>
        <w:pStyle w:val="a5"/>
        <w:spacing w:before="156" w:after="156"/>
        <w:ind w:firstLine="480"/>
        <w:rPr>
          <w:lang w:eastAsia="zh-CN"/>
        </w:rPr>
      </w:pPr>
      <w:r w:rsidRPr="002366DB">
        <w:rPr>
          <w:rFonts w:hint="eastAsia"/>
          <w:lang w:eastAsia="zh-CN"/>
        </w:rPr>
        <w:t>加拿大</w:t>
      </w:r>
      <w:r w:rsidRPr="002366DB">
        <w:rPr>
          <w:lang w:eastAsia="zh-CN"/>
        </w:rPr>
        <w:t>5月就业人数变动(万)</w:t>
      </w:r>
    </w:p>
    <w:p w14:paraId="7283D25A" w14:textId="7ADA8083" w:rsidR="002366DB" w:rsidRDefault="002366DB">
      <w:pPr>
        <w:pStyle w:val="a5"/>
        <w:spacing w:before="156" w:after="156"/>
        <w:ind w:firstLine="480"/>
        <w:rPr>
          <w:lang w:eastAsia="zh-CN"/>
        </w:rPr>
      </w:pPr>
      <w:r w:rsidRPr="002366DB">
        <w:rPr>
          <w:rFonts w:hint="eastAsia"/>
          <w:lang w:eastAsia="zh-CN"/>
        </w:rPr>
        <w:t>美国</w:t>
      </w:r>
      <w:r w:rsidRPr="002366DB">
        <w:rPr>
          <w:lang w:eastAsia="zh-CN"/>
        </w:rPr>
        <w:t>4月工厂订单月率(%)</w:t>
      </w:r>
    </w:p>
    <w:p w14:paraId="2B8124B7" w14:textId="24066A2E" w:rsidR="002366DB" w:rsidRDefault="002366DB">
      <w:pPr>
        <w:pStyle w:val="a5"/>
        <w:spacing w:before="156" w:after="156"/>
        <w:ind w:firstLine="480"/>
        <w:rPr>
          <w:lang w:eastAsia="zh-CN"/>
        </w:rPr>
      </w:pPr>
      <w:r w:rsidRPr="002366DB">
        <w:rPr>
          <w:rFonts w:hint="eastAsia"/>
          <w:lang w:eastAsia="zh-CN"/>
        </w:rPr>
        <w:t>美国</w:t>
      </w:r>
      <w:r w:rsidRPr="002366DB">
        <w:rPr>
          <w:lang w:eastAsia="zh-CN"/>
        </w:rPr>
        <w:t>4月耐用品订单月率终值(%)</w:t>
      </w:r>
    </w:p>
    <w:p w14:paraId="25243C48" w14:textId="59D28CF1" w:rsidR="002366DB" w:rsidRDefault="002366DB">
      <w:pPr>
        <w:pStyle w:val="a5"/>
        <w:spacing w:before="156" w:after="156"/>
        <w:ind w:firstLine="480"/>
        <w:rPr>
          <w:lang w:eastAsia="zh-CN"/>
        </w:rPr>
      </w:pPr>
      <w:r w:rsidRPr="002366DB">
        <w:rPr>
          <w:rFonts w:hint="eastAsia"/>
          <w:lang w:eastAsia="zh-CN"/>
        </w:rPr>
        <w:t>加拿大</w:t>
      </w:r>
      <w:r w:rsidRPr="002366DB">
        <w:rPr>
          <w:lang w:eastAsia="zh-CN"/>
        </w:rPr>
        <w:t>5月IVEY季调后PMI</w:t>
      </w:r>
    </w:p>
    <w:p w14:paraId="19BBD5BA" w14:textId="77777777" w:rsidR="00915784" w:rsidRDefault="00915784">
      <w:pPr>
        <w:pStyle w:val="a5"/>
        <w:spacing w:before="156" w:after="156"/>
        <w:ind w:firstLine="480"/>
        <w:rPr>
          <w:lang w:eastAsia="zh-CN"/>
        </w:rPr>
      </w:pPr>
    </w:p>
    <w:p w14:paraId="19BBD5BB" w14:textId="77777777" w:rsidR="00D92BE7" w:rsidRDefault="00D92BE7">
      <w:pPr>
        <w:pStyle w:val="a5"/>
        <w:spacing w:before="156" w:after="156"/>
        <w:ind w:firstLine="480"/>
        <w:rPr>
          <w:lang w:eastAsia="zh-CN"/>
        </w:rPr>
      </w:pPr>
    </w:p>
    <w:p w14:paraId="19BBD5BC" w14:textId="77777777" w:rsidR="00D92BE7" w:rsidRDefault="00D92BE7">
      <w:pPr>
        <w:pStyle w:val="a5"/>
        <w:spacing w:before="156" w:after="156"/>
        <w:ind w:firstLine="480"/>
        <w:rPr>
          <w:lang w:eastAsia="zh-CN"/>
        </w:rPr>
      </w:pPr>
    </w:p>
    <w:p w14:paraId="19BBD5BD" w14:textId="77777777" w:rsidR="00425B93" w:rsidRDefault="008659C3">
      <w:pPr>
        <w:rPr>
          <w:rFonts w:ascii="黑体" w:eastAsia="黑体" w:hAnsi="黑体"/>
          <w:sz w:val="32"/>
          <w:szCs w:val="32"/>
        </w:rPr>
      </w:pPr>
      <w:r>
        <w:rPr>
          <w:rFonts w:ascii="黑体" w:eastAsia="黑体" w:hAnsi="黑体"/>
          <w:sz w:val="32"/>
          <w:szCs w:val="32"/>
        </w:rPr>
        <w:t xml:space="preserve">重要声明 </w:t>
      </w:r>
    </w:p>
    <w:p w14:paraId="19BBD5BE" w14:textId="77777777" w:rsidR="00425B93" w:rsidRDefault="008659C3">
      <w:pPr>
        <w:spacing w:line="360" w:lineRule="auto"/>
        <w:ind w:left="360" w:right="113"/>
        <w:rPr>
          <w:rFonts w:ascii="仿宋" w:eastAsia="仿宋" w:hAnsi="仿宋"/>
          <w:sz w:val="24"/>
          <w:szCs w:val="28"/>
        </w:rPr>
      </w:pPr>
      <w:r>
        <w:rPr>
          <w:rFonts w:ascii="仿宋" w:eastAsia="仿宋" w:hAnsi="仿宋" w:hint="eastAsia"/>
          <w:spacing w:val="2"/>
          <w:sz w:val="24"/>
          <w:szCs w:val="28"/>
        </w:rPr>
        <w:t xml:space="preserve">　　</w:t>
      </w:r>
      <w:r>
        <w:rPr>
          <w:rFonts w:ascii="仿宋" w:eastAsia="仿宋" w:hAnsi="仿宋"/>
          <w:spacing w:val="2"/>
          <w:sz w:val="24"/>
          <w:szCs w:val="28"/>
        </w:rPr>
        <w:t>新</w:t>
      </w:r>
      <w:r>
        <w:rPr>
          <w:rFonts w:ascii="仿宋" w:eastAsia="仿宋" w:hAnsi="仿宋"/>
          <w:sz w:val="24"/>
          <w:szCs w:val="28"/>
        </w:rPr>
        <w:t>华财</w:t>
      </w:r>
      <w:r>
        <w:rPr>
          <w:rFonts w:ascii="仿宋" w:eastAsia="仿宋" w:hAnsi="仿宋"/>
          <w:spacing w:val="2"/>
          <w:sz w:val="24"/>
          <w:szCs w:val="28"/>
        </w:rPr>
        <w:t>经</w:t>
      </w:r>
      <w:r>
        <w:rPr>
          <w:rFonts w:ascii="仿宋" w:eastAsia="仿宋" w:hAnsi="仿宋"/>
          <w:sz w:val="24"/>
          <w:szCs w:val="28"/>
        </w:rPr>
        <w:t>研</w:t>
      </w:r>
      <w:r>
        <w:rPr>
          <w:rFonts w:ascii="仿宋" w:eastAsia="仿宋" w:hAnsi="仿宋"/>
          <w:spacing w:val="2"/>
          <w:sz w:val="24"/>
          <w:szCs w:val="28"/>
        </w:rPr>
        <w:t>报</w:t>
      </w:r>
      <w:r>
        <w:rPr>
          <w:rFonts w:ascii="仿宋" w:eastAsia="仿宋" w:hAnsi="仿宋"/>
          <w:sz w:val="24"/>
          <w:szCs w:val="28"/>
        </w:rPr>
        <w:t>由</w:t>
      </w:r>
      <w:r>
        <w:rPr>
          <w:rFonts w:ascii="仿宋" w:eastAsia="仿宋" w:hAnsi="仿宋" w:hint="eastAsia"/>
          <w:sz w:val="24"/>
          <w:szCs w:val="28"/>
        </w:rPr>
        <w:t>新华社中国经济信息社</w:t>
      </w:r>
      <w:r>
        <w:rPr>
          <w:rFonts w:ascii="仿宋" w:eastAsia="仿宋" w:hAnsi="仿宋"/>
          <w:sz w:val="24"/>
          <w:szCs w:val="28"/>
        </w:rPr>
        <w:t>发</w:t>
      </w:r>
      <w:r>
        <w:rPr>
          <w:rFonts w:ascii="仿宋" w:eastAsia="仿宋" w:hAnsi="仿宋"/>
          <w:spacing w:val="2"/>
          <w:sz w:val="24"/>
          <w:szCs w:val="28"/>
        </w:rPr>
        <w:t>布</w:t>
      </w:r>
      <w:r>
        <w:rPr>
          <w:rFonts w:ascii="仿宋" w:eastAsia="仿宋" w:hAnsi="仿宋"/>
          <w:sz w:val="24"/>
          <w:szCs w:val="28"/>
        </w:rPr>
        <w:t>。</w:t>
      </w:r>
      <w:r>
        <w:rPr>
          <w:rFonts w:ascii="仿宋" w:eastAsia="仿宋" w:hAnsi="仿宋"/>
          <w:spacing w:val="2"/>
          <w:sz w:val="24"/>
          <w:szCs w:val="28"/>
        </w:rPr>
        <w:t>报</w:t>
      </w:r>
      <w:r>
        <w:rPr>
          <w:rFonts w:ascii="仿宋" w:eastAsia="仿宋" w:hAnsi="仿宋"/>
          <w:sz w:val="24"/>
          <w:szCs w:val="28"/>
        </w:rPr>
        <w:t>告依</w:t>
      </w:r>
      <w:r>
        <w:rPr>
          <w:rFonts w:ascii="仿宋" w:eastAsia="仿宋" w:hAnsi="仿宋"/>
          <w:spacing w:val="2"/>
          <w:sz w:val="24"/>
          <w:szCs w:val="28"/>
        </w:rPr>
        <w:t>据</w:t>
      </w:r>
      <w:r>
        <w:rPr>
          <w:rFonts w:ascii="仿宋" w:eastAsia="仿宋" w:hAnsi="仿宋"/>
          <w:sz w:val="24"/>
          <w:szCs w:val="28"/>
        </w:rPr>
        <w:t>国际</w:t>
      </w:r>
      <w:r>
        <w:rPr>
          <w:rFonts w:ascii="仿宋" w:eastAsia="仿宋" w:hAnsi="仿宋"/>
          <w:spacing w:val="2"/>
          <w:sz w:val="24"/>
          <w:szCs w:val="28"/>
        </w:rPr>
        <w:t>和</w:t>
      </w:r>
      <w:r>
        <w:rPr>
          <w:rFonts w:ascii="仿宋" w:eastAsia="仿宋" w:hAnsi="仿宋"/>
          <w:sz w:val="24"/>
          <w:szCs w:val="28"/>
        </w:rPr>
        <w:t>行业</w:t>
      </w:r>
      <w:r>
        <w:rPr>
          <w:rFonts w:ascii="仿宋" w:eastAsia="仿宋" w:hAnsi="仿宋"/>
          <w:spacing w:val="4"/>
          <w:sz w:val="24"/>
          <w:szCs w:val="28"/>
        </w:rPr>
        <w:t>通</w:t>
      </w:r>
      <w:r>
        <w:rPr>
          <w:rFonts w:ascii="仿宋" w:eastAsia="仿宋" w:hAnsi="仿宋"/>
          <w:sz w:val="24"/>
          <w:szCs w:val="28"/>
        </w:rPr>
        <w:t>行</w:t>
      </w:r>
      <w:r>
        <w:rPr>
          <w:rFonts w:ascii="仿宋" w:eastAsia="仿宋" w:hAnsi="仿宋"/>
          <w:spacing w:val="2"/>
          <w:sz w:val="24"/>
          <w:szCs w:val="28"/>
        </w:rPr>
        <w:t>准</w:t>
      </w:r>
      <w:r>
        <w:rPr>
          <w:rFonts w:ascii="仿宋" w:eastAsia="仿宋" w:hAnsi="仿宋"/>
          <w:sz w:val="24"/>
          <w:szCs w:val="28"/>
        </w:rPr>
        <w:t>则由</w:t>
      </w:r>
      <w:r>
        <w:rPr>
          <w:rFonts w:ascii="仿宋" w:eastAsia="仿宋" w:hAnsi="仿宋"/>
          <w:spacing w:val="2"/>
          <w:sz w:val="24"/>
          <w:szCs w:val="28"/>
        </w:rPr>
        <w:t>新</w:t>
      </w:r>
      <w:r>
        <w:rPr>
          <w:rFonts w:ascii="仿宋" w:eastAsia="仿宋" w:hAnsi="仿宋"/>
          <w:sz w:val="24"/>
          <w:szCs w:val="28"/>
        </w:rPr>
        <w:t>华</w:t>
      </w:r>
      <w:r>
        <w:rPr>
          <w:rFonts w:ascii="仿宋" w:eastAsia="仿宋" w:hAnsi="仿宋" w:hint="eastAsia"/>
          <w:sz w:val="24"/>
          <w:szCs w:val="28"/>
        </w:rPr>
        <w:t>社经济</w:t>
      </w:r>
      <w:r>
        <w:rPr>
          <w:rFonts w:ascii="仿宋" w:eastAsia="仿宋" w:hAnsi="仿宋"/>
          <w:sz w:val="24"/>
          <w:szCs w:val="28"/>
        </w:rPr>
        <w:t>分析</w:t>
      </w:r>
      <w:r>
        <w:rPr>
          <w:rFonts w:ascii="仿宋" w:eastAsia="仿宋" w:hAnsi="仿宋"/>
          <w:spacing w:val="2"/>
          <w:sz w:val="24"/>
          <w:szCs w:val="28"/>
        </w:rPr>
        <w:t>师</w:t>
      </w:r>
      <w:r>
        <w:rPr>
          <w:rFonts w:ascii="仿宋" w:eastAsia="仿宋" w:hAnsi="仿宋"/>
          <w:sz w:val="24"/>
          <w:szCs w:val="28"/>
        </w:rPr>
        <w:t>采</w:t>
      </w:r>
      <w:r>
        <w:rPr>
          <w:rFonts w:ascii="仿宋" w:eastAsia="仿宋" w:hAnsi="仿宋"/>
          <w:spacing w:val="2"/>
          <w:sz w:val="24"/>
          <w:szCs w:val="28"/>
        </w:rPr>
        <w:t>集</w:t>
      </w:r>
      <w:r>
        <w:rPr>
          <w:rFonts w:ascii="仿宋" w:eastAsia="仿宋" w:hAnsi="仿宋"/>
          <w:sz w:val="24"/>
          <w:szCs w:val="28"/>
        </w:rPr>
        <w:t>撰写</w:t>
      </w:r>
      <w:r>
        <w:rPr>
          <w:rFonts w:ascii="仿宋" w:eastAsia="仿宋" w:hAnsi="仿宋"/>
          <w:spacing w:val="2"/>
          <w:sz w:val="24"/>
          <w:szCs w:val="28"/>
        </w:rPr>
        <w:t>或</w:t>
      </w:r>
      <w:r>
        <w:rPr>
          <w:rFonts w:ascii="仿宋" w:eastAsia="仿宋" w:hAnsi="仿宋"/>
          <w:sz w:val="24"/>
          <w:szCs w:val="28"/>
        </w:rPr>
        <w:t>编发，</w:t>
      </w:r>
      <w:r>
        <w:rPr>
          <w:rFonts w:ascii="仿宋" w:eastAsia="仿宋" w:hAnsi="仿宋"/>
          <w:spacing w:val="2"/>
          <w:sz w:val="24"/>
          <w:szCs w:val="28"/>
        </w:rPr>
        <w:t>仅</w:t>
      </w:r>
      <w:r>
        <w:rPr>
          <w:rFonts w:ascii="仿宋" w:eastAsia="仿宋" w:hAnsi="仿宋"/>
          <w:sz w:val="24"/>
          <w:szCs w:val="28"/>
        </w:rPr>
        <w:t>反映作</w:t>
      </w:r>
      <w:r>
        <w:rPr>
          <w:rFonts w:ascii="仿宋" w:eastAsia="仿宋" w:hAnsi="仿宋"/>
          <w:spacing w:val="4"/>
          <w:sz w:val="24"/>
          <w:szCs w:val="28"/>
        </w:rPr>
        <w:t>者</w:t>
      </w:r>
      <w:r>
        <w:rPr>
          <w:rFonts w:ascii="仿宋" w:eastAsia="仿宋" w:hAnsi="仿宋"/>
          <w:sz w:val="24"/>
          <w:szCs w:val="28"/>
        </w:rPr>
        <w:t>的观</w:t>
      </w:r>
      <w:r>
        <w:rPr>
          <w:rFonts w:ascii="仿宋" w:eastAsia="仿宋" w:hAnsi="仿宋"/>
          <w:spacing w:val="2"/>
          <w:sz w:val="24"/>
          <w:szCs w:val="28"/>
        </w:rPr>
        <w:t>点</w:t>
      </w:r>
      <w:r>
        <w:rPr>
          <w:rFonts w:ascii="仿宋" w:eastAsia="仿宋" w:hAnsi="仿宋"/>
          <w:sz w:val="24"/>
          <w:szCs w:val="28"/>
        </w:rPr>
        <w:t>、见解</w:t>
      </w:r>
      <w:r>
        <w:rPr>
          <w:rFonts w:ascii="仿宋" w:eastAsia="仿宋" w:hAnsi="仿宋"/>
          <w:spacing w:val="2"/>
          <w:sz w:val="24"/>
          <w:szCs w:val="28"/>
        </w:rPr>
        <w:t>及</w:t>
      </w:r>
      <w:r>
        <w:rPr>
          <w:rFonts w:ascii="仿宋" w:eastAsia="仿宋" w:hAnsi="仿宋"/>
          <w:sz w:val="24"/>
          <w:szCs w:val="28"/>
        </w:rPr>
        <w:t>分析方</w:t>
      </w:r>
      <w:r>
        <w:rPr>
          <w:rFonts w:ascii="仿宋" w:eastAsia="仿宋" w:hAnsi="仿宋"/>
          <w:spacing w:val="2"/>
          <w:sz w:val="24"/>
          <w:szCs w:val="28"/>
        </w:rPr>
        <w:t>法</w:t>
      </w:r>
      <w:r>
        <w:rPr>
          <w:rFonts w:ascii="仿宋" w:eastAsia="仿宋" w:hAnsi="仿宋"/>
          <w:sz w:val="24"/>
          <w:szCs w:val="28"/>
        </w:rPr>
        <w:t>，尽</w:t>
      </w:r>
      <w:r>
        <w:rPr>
          <w:rFonts w:ascii="仿宋" w:eastAsia="仿宋" w:hAnsi="仿宋"/>
          <w:spacing w:val="2"/>
          <w:sz w:val="24"/>
          <w:szCs w:val="28"/>
        </w:rPr>
        <w:t>可</w:t>
      </w:r>
      <w:r>
        <w:rPr>
          <w:rFonts w:ascii="仿宋" w:eastAsia="仿宋" w:hAnsi="仿宋"/>
          <w:sz w:val="24"/>
          <w:szCs w:val="28"/>
        </w:rPr>
        <w:t>能保证</w:t>
      </w:r>
      <w:r>
        <w:rPr>
          <w:rFonts w:ascii="仿宋" w:eastAsia="仿宋" w:hAnsi="仿宋"/>
          <w:spacing w:val="2"/>
          <w:sz w:val="24"/>
          <w:szCs w:val="28"/>
        </w:rPr>
        <w:t>信</w:t>
      </w:r>
      <w:r>
        <w:rPr>
          <w:rFonts w:ascii="仿宋" w:eastAsia="仿宋" w:hAnsi="仿宋"/>
          <w:sz w:val="24"/>
          <w:szCs w:val="28"/>
        </w:rPr>
        <w:t>息的可</w:t>
      </w:r>
      <w:r>
        <w:rPr>
          <w:rFonts w:ascii="仿宋" w:eastAsia="仿宋" w:hAnsi="仿宋"/>
          <w:spacing w:val="2"/>
          <w:sz w:val="24"/>
          <w:szCs w:val="28"/>
        </w:rPr>
        <w:t>靠</w:t>
      </w:r>
      <w:r>
        <w:rPr>
          <w:rFonts w:ascii="仿宋" w:eastAsia="仿宋" w:hAnsi="仿宋"/>
          <w:sz w:val="24"/>
          <w:szCs w:val="28"/>
        </w:rPr>
        <w:t>、准</w:t>
      </w:r>
      <w:r>
        <w:rPr>
          <w:rFonts w:ascii="仿宋" w:eastAsia="仿宋" w:hAnsi="仿宋"/>
          <w:spacing w:val="2"/>
          <w:sz w:val="24"/>
          <w:szCs w:val="28"/>
        </w:rPr>
        <w:t>确</w:t>
      </w:r>
      <w:r>
        <w:rPr>
          <w:rFonts w:ascii="仿宋" w:eastAsia="仿宋" w:hAnsi="仿宋"/>
          <w:sz w:val="24"/>
          <w:szCs w:val="28"/>
        </w:rPr>
        <w:t>和完整</w:t>
      </w:r>
      <w:r>
        <w:rPr>
          <w:rFonts w:ascii="仿宋" w:eastAsia="仿宋" w:hAnsi="仿宋" w:hint="eastAsia"/>
          <w:spacing w:val="2"/>
          <w:sz w:val="24"/>
          <w:szCs w:val="28"/>
        </w:rPr>
        <w:t>，</w:t>
      </w:r>
      <w:r>
        <w:rPr>
          <w:rFonts w:ascii="仿宋" w:eastAsia="仿宋" w:hAnsi="仿宋"/>
          <w:sz w:val="24"/>
          <w:szCs w:val="28"/>
        </w:rPr>
        <w:t>不</w:t>
      </w:r>
      <w:r>
        <w:rPr>
          <w:rFonts w:ascii="仿宋" w:eastAsia="仿宋" w:hAnsi="仿宋"/>
          <w:spacing w:val="2"/>
          <w:sz w:val="24"/>
          <w:szCs w:val="28"/>
        </w:rPr>
        <w:t>对</w:t>
      </w:r>
      <w:r>
        <w:rPr>
          <w:rFonts w:ascii="仿宋" w:eastAsia="仿宋" w:hAnsi="仿宋"/>
          <w:sz w:val="24"/>
          <w:szCs w:val="28"/>
        </w:rPr>
        <w:t>外公开</w:t>
      </w:r>
      <w:r>
        <w:rPr>
          <w:rFonts w:ascii="仿宋" w:eastAsia="仿宋" w:hAnsi="仿宋"/>
          <w:spacing w:val="2"/>
          <w:sz w:val="24"/>
          <w:szCs w:val="28"/>
        </w:rPr>
        <w:t>发</w:t>
      </w:r>
      <w:r>
        <w:rPr>
          <w:rFonts w:ascii="仿宋" w:eastAsia="仿宋" w:hAnsi="仿宋"/>
          <w:sz w:val="24"/>
          <w:szCs w:val="28"/>
        </w:rPr>
        <w:t>布，</w:t>
      </w:r>
      <w:r>
        <w:rPr>
          <w:rFonts w:ascii="仿宋" w:eastAsia="仿宋" w:hAnsi="仿宋"/>
          <w:spacing w:val="2"/>
          <w:sz w:val="24"/>
          <w:szCs w:val="28"/>
        </w:rPr>
        <w:t>仅</w:t>
      </w:r>
      <w:r>
        <w:rPr>
          <w:rFonts w:ascii="仿宋" w:eastAsia="仿宋" w:hAnsi="仿宋"/>
          <w:sz w:val="24"/>
          <w:szCs w:val="28"/>
        </w:rPr>
        <w:t>供接收</w:t>
      </w:r>
      <w:r>
        <w:rPr>
          <w:rFonts w:ascii="仿宋" w:eastAsia="仿宋" w:hAnsi="仿宋"/>
          <w:spacing w:val="2"/>
          <w:sz w:val="24"/>
          <w:szCs w:val="28"/>
        </w:rPr>
        <w:t>客</w:t>
      </w:r>
      <w:r>
        <w:rPr>
          <w:rFonts w:ascii="仿宋" w:eastAsia="仿宋" w:hAnsi="仿宋"/>
          <w:sz w:val="24"/>
          <w:szCs w:val="28"/>
        </w:rPr>
        <w:t>户参考</w:t>
      </w:r>
      <w:r>
        <w:rPr>
          <w:rFonts w:ascii="仿宋" w:eastAsia="仿宋" w:hAnsi="仿宋"/>
          <w:spacing w:val="2"/>
          <w:sz w:val="24"/>
          <w:szCs w:val="28"/>
        </w:rPr>
        <w:t>。</w:t>
      </w:r>
      <w:r>
        <w:rPr>
          <w:rFonts w:ascii="仿宋" w:eastAsia="仿宋" w:hAnsi="仿宋"/>
          <w:sz w:val="24"/>
          <w:szCs w:val="28"/>
        </w:rPr>
        <w:t>未经</w:t>
      </w:r>
      <w:r>
        <w:rPr>
          <w:rFonts w:ascii="仿宋" w:eastAsia="仿宋" w:hAnsi="仿宋"/>
          <w:spacing w:val="2"/>
          <w:sz w:val="24"/>
          <w:szCs w:val="28"/>
        </w:rPr>
        <w:t>书</w:t>
      </w:r>
      <w:r>
        <w:rPr>
          <w:rFonts w:ascii="仿宋" w:eastAsia="仿宋" w:hAnsi="仿宋"/>
          <w:sz w:val="24"/>
          <w:szCs w:val="28"/>
        </w:rPr>
        <w:t>面许可</w:t>
      </w:r>
      <w:r>
        <w:rPr>
          <w:rFonts w:ascii="仿宋" w:eastAsia="仿宋" w:hAnsi="仿宋"/>
          <w:spacing w:val="4"/>
          <w:sz w:val="24"/>
          <w:szCs w:val="28"/>
        </w:rPr>
        <w:t>，</w:t>
      </w:r>
      <w:r>
        <w:rPr>
          <w:rFonts w:ascii="仿宋" w:eastAsia="仿宋" w:hAnsi="仿宋"/>
          <w:sz w:val="24"/>
          <w:szCs w:val="28"/>
        </w:rPr>
        <w:t>任何机</w:t>
      </w:r>
      <w:r>
        <w:rPr>
          <w:rFonts w:ascii="仿宋" w:eastAsia="仿宋" w:hAnsi="仿宋"/>
          <w:spacing w:val="2"/>
          <w:sz w:val="24"/>
          <w:szCs w:val="28"/>
        </w:rPr>
        <w:t>构</w:t>
      </w:r>
      <w:r>
        <w:rPr>
          <w:rFonts w:ascii="仿宋" w:eastAsia="仿宋" w:hAnsi="仿宋"/>
          <w:sz w:val="24"/>
          <w:szCs w:val="28"/>
        </w:rPr>
        <w:t>或个人</w:t>
      </w:r>
      <w:r>
        <w:rPr>
          <w:rFonts w:ascii="仿宋" w:eastAsia="仿宋" w:hAnsi="仿宋"/>
          <w:spacing w:val="-3"/>
          <w:sz w:val="24"/>
          <w:szCs w:val="28"/>
        </w:rPr>
        <w:t>不</w:t>
      </w:r>
      <w:r>
        <w:rPr>
          <w:rFonts w:ascii="仿宋" w:eastAsia="仿宋" w:hAnsi="仿宋"/>
          <w:sz w:val="24"/>
          <w:szCs w:val="28"/>
        </w:rPr>
        <w:t>得</w:t>
      </w:r>
      <w:r>
        <w:rPr>
          <w:rFonts w:ascii="仿宋" w:eastAsia="仿宋" w:hAnsi="仿宋"/>
          <w:spacing w:val="-3"/>
          <w:sz w:val="24"/>
          <w:szCs w:val="28"/>
        </w:rPr>
        <w:t>以</w:t>
      </w:r>
      <w:r>
        <w:rPr>
          <w:rFonts w:ascii="仿宋" w:eastAsia="仿宋" w:hAnsi="仿宋"/>
          <w:sz w:val="24"/>
          <w:szCs w:val="28"/>
        </w:rPr>
        <w:t>任</w:t>
      </w:r>
      <w:r>
        <w:rPr>
          <w:rFonts w:ascii="仿宋" w:eastAsia="仿宋" w:hAnsi="仿宋"/>
          <w:spacing w:val="-3"/>
          <w:sz w:val="24"/>
          <w:szCs w:val="28"/>
        </w:rPr>
        <w:t>何</w:t>
      </w:r>
      <w:r>
        <w:rPr>
          <w:rFonts w:ascii="仿宋" w:eastAsia="仿宋" w:hAnsi="仿宋"/>
          <w:sz w:val="24"/>
          <w:szCs w:val="28"/>
        </w:rPr>
        <w:t>形</w:t>
      </w:r>
      <w:r>
        <w:rPr>
          <w:rFonts w:ascii="仿宋" w:eastAsia="仿宋" w:hAnsi="仿宋"/>
          <w:spacing w:val="-5"/>
          <w:sz w:val="24"/>
          <w:szCs w:val="28"/>
        </w:rPr>
        <w:t>式</w:t>
      </w:r>
      <w:r>
        <w:rPr>
          <w:rFonts w:ascii="仿宋" w:eastAsia="仿宋" w:hAnsi="仿宋"/>
          <w:sz w:val="24"/>
          <w:szCs w:val="28"/>
        </w:rPr>
        <w:t>翻</w:t>
      </w:r>
      <w:r>
        <w:rPr>
          <w:rFonts w:ascii="仿宋" w:eastAsia="仿宋" w:hAnsi="仿宋"/>
          <w:spacing w:val="-3"/>
          <w:sz w:val="24"/>
          <w:szCs w:val="28"/>
        </w:rPr>
        <w:t>版</w:t>
      </w:r>
      <w:r>
        <w:rPr>
          <w:rFonts w:ascii="仿宋" w:eastAsia="仿宋" w:hAnsi="仿宋"/>
          <w:sz w:val="24"/>
          <w:szCs w:val="28"/>
        </w:rPr>
        <w:t>、复</w:t>
      </w:r>
      <w:r>
        <w:rPr>
          <w:rFonts w:ascii="仿宋" w:eastAsia="仿宋" w:hAnsi="仿宋"/>
          <w:spacing w:val="-3"/>
          <w:sz w:val="24"/>
          <w:szCs w:val="28"/>
        </w:rPr>
        <w:t>制</w:t>
      </w:r>
      <w:r>
        <w:rPr>
          <w:rFonts w:ascii="仿宋" w:eastAsia="仿宋" w:hAnsi="仿宋"/>
          <w:sz w:val="24"/>
          <w:szCs w:val="28"/>
        </w:rPr>
        <w:t>、</w:t>
      </w:r>
      <w:r>
        <w:rPr>
          <w:rFonts w:ascii="仿宋" w:eastAsia="仿宋" w:hAnsi="仿宋"/>
          <w:spacing w:val="-3"/>
          <w:sz w:val="24"/>
          <w:szCs w:val="28"/>
        </w:rPr>
        <w:t>刊</w:t>
      </w:r>
      <w:r>
        <w:rPr>
          <w:rFonts w:ascii="仿宋" w:eastAsia="仿宋" w:hAnsi="仿宋"/>
          <w:sz w:val="24"/>
          <w:szCs w:val="28"/>
        </w:rPr>
        <w:t>登</w:t>
      </w:r>
      <w:r>
        <w:rPr>
          <w:rFonts w:ascii="仿宋" w:eastAsia="仿宋" w:hAnsi="仿宋"/>
          <w:spacing w:val="-3"/>
          <w:sz w:val="24"/>
          <w:szCs w:val="28"/>
        </w:rPr>
        <w:t>、</w:t>
      </w:r>
      <w:r>
        <w:rPr>
          <w:rFonts w:ascii="仿宋" w:eastAsia="仿宋" w:hAnsi="仿宋"/>
          <w:sz w:val="24"/>
          <w:szCs w:val="28"/>
        </w:rPr>
        <w:t>转</w:t>
      </w:r>
      <w:r>
        <w:rPr>
          <w:rFonts w:ascii="仿宋" w:eastAsia="仿宋" w:hAnsi="仿宋"/>
          <w:spacing w:val="-3"/>
          <w:sz w:val="24"/>
          <w:szCs w:val="28"/>
        </w:rPr>
        <w:t>载</w:t>
      </w:r>
      <w:r>
        <w:rPr>
          <w:rFonts w:ascii="仿宋" w:eastAsia="仿宋" w:hAnsi="仿宋"/>
          <w:sz w:val="24"/>
          <w:szCs w:val="28"/>
        </w:rPr>
        <w:t>和</w:t>
      </w:r>
      <w:r>
        <w:rPr>
          <w:rFonts w:ascii="仿宋" w:eastAsia="仿宋" w:hAnsi="仿宋"/>
          <w:spacing w:val="-3"/>
          <w:sz w:val="24"/>
          <w:szCs w:val="28"/>
        </w:rPr>
        <w:t>引</w:t>
      </w:r>
      <w:r>
        <w:rPr>
          <w:rFonts w:ascii="仿宋" w:eastAsia="仿宋" w:hAnsi="仿宋"/>
          <w:sz w:val="24"/>
          <w:szCs w:val="28"/>
        </w:rPr>
        <w:t>用。</w:t>
      </w:r>
    </w:p>
    <w:p w14:paraId="19BBD5BF" w14:textId="77777777" w:rsidR="00425B93" w:rsidRDefault="00425B93">
      <w:pPr>
        <w:pStyle w:val="a5"/>
        <w:spacing w:before="156" w:after="156"/>
        <w:ind w:firstLine="480"/>
        <w:rPr>
          <w:lang w:eastAsia="zh-CN"/>
        </w:rPr>
      </w:pPr>
    </w:p>
    <w:sectPr w:rsidR="00425B93" w:rsidSect="00425B93">
      <w:headerReference w:type="default" r:id="rId10"/>
      <w:footerReference w:type="default" r:id="rId11"/>
      <w:footerReference w:type="first" r:id="rId12"/>
      <w:pgSz w:w="11906" w:h="16838"/>
      <w:pgMar w:top="1701" w:right="851" w:bottom="720" w:left="1271" w:header="227" w:footer="794"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12D9" w14:textId="77777777" w:rsidR="00A613A0" w:rsidRDefault="00A613A0" w:rsidP="00425B93">
      <w:r>
        <w:separator/>
      </w:r>
    </w:p>
  </w:endnote>
  <w:endnote w:type="continuationSeparator" w:id="0">
    <w:p w14:paraId="70C58914" w14:textId="77777777" w:rsidR="00A613A0" w:rsidRDefault="00A613A0" w:rsidP="0042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D5CD" w14:textId="77777777" w:rsidR="002212BB" w:rsidRDefault="002212BB">
    <w:pPr>
      <w:pStyle w:val="a9"/>
      <w:jc w:val="right"/>
    </w:pPr>
    <w:r>
      <w:rPr>
        <w:b/>
        <w:bCs/>
        <w:sz w:val="24"/>
        <w:szCs w:val="24"/>
      </w:rPr>
      <w:fldChar w:fldCharType="begin"/>
    </w:r>
    <w:r>
      <w:rPr>
        <w:b/>
        <w:bCs/>
      </w:rPr>
      <w:instrText>PAGE</w:instrText>
    </w:r>
    <w:r>
      <w:rPr>
        <w:b/>
        <w:bCs/>
        <w:sz w:val="24"/>
        <w:szCs w:val="24"/>
      </w:rPr>
      <w:fldChar w:fldCharType="separate"/>
    </w:r>
    <w:r w:rsidR="007E249B">
      <w:rPr>
        <w:b/>
        <w:bCs/>
        <w:noProof/>
      </w:rPr>
      <w:t>36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E249B">
      <w:rPr>
        <w:b/>
        <w:bCs/>
        <w:noProof/>
      </w:rPr>
      <w:t>38</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D5CE" w14:textId="77777777" w:rsidR="002212BB" w:rsidRDefault="00896AD8">
    <w:pPr>
      <w:pStyle w:val="a9"/>
      <w:wordWrap w:val="0"/>
      <w:jc w:val="right"/>
    </w:pPr>
    <w:r>
      <w:rPr>
        <w:sz w:val="23"/>
      </w:rPr>
      <w:pict w14:anchorId="19BBD5D1">
        <v:shapetype id="_x0000_t202" coordsize="21600,21600" o:spt="202" path="m,l,21600r21600,l21600,xe">
          <v:stroke joinstyle="miter"/>
          <v:path gradientshapeok="t" o:connecttype="rect"/>
        </v:shapetype>
        <v:shape id="文本框 2" o:spid="_x0000_s2049" type="#_x0000_t202" style="position:absolute;left:0;text-align:left;margin-left:0;margin-top:-1.4pt;width:155pt;height:20.8pt;z-index:251658240;mso-height-percent:200;mso-wrap-distance-top:3.6pt;mso-wrap-distance-bottom:3.6pt;mso-position-horizontal:left;mso-position-horizontal-relative:margin;mso-height-percent:200;mso-height-relative:margin" o:gfxdata="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ByaGbUAAAABgEAAA8AAAAAAAAAAQAgAAAAIgAAAGRycy9k&#10;b3ducmV2LnhtbFBLAQIUABQAAAAIAIdO4kC1syRcPwIAAGIEAAAOAAAAAAAAAAEAIAAAACMBAABk&#10;cnMvZTJvRG9jLnhtbFBLBQYAAAAABgAGAFkBAADUBQAAAAA=&#10;" stroked="f">
          <v:textbox style="mso-fit-shape-to-text:t">
            <w:txbxContent>
              <w:p w14:paraId="19BBD5D5" w14:textId="77777777" w:rsidR="002212BB" w:rsidRDefault="002212BB">
                <w:pPr>
                  <w:jc w:val="left"/>
                  <w:rPr>
                    <w:rFonts w:ascii="仿宋" w:eastAsia="仿宋" w:hAnsi="仿宋"/>
                    <w:color w:val="1F4E79"/>
                  </w:rPr>
                </w:pPr>
                <w:r>
                  <w:rPr>
                    <w:rFonts w:ascii="仿宋" w:eastAsia="仿宋" w:hAnsi="仿宋" w:hint="eastAsia"/>
                    <w:color w:val="1F4E79"/>
                  </w:rPr>
                  <w:t xml:space="preserve">请参阅本报告最末重要声明 </w:t>
                </w:r>
              </w:p>
            </w:txbxContent>
          </v:textbox>
          <w10:wrap type="square" anchorx="margin"/>
        </v:shape>
      </w:pict>
    </w:r>
    <w:r w:rsidR="002212BB">
      <w:rPr>
        <w:b/>
        <w:bCs/>
        <w:sz w:val="24"/>
        <w:szCs w:val="24"/>
      </w:rPr>
      <w:fldChar w:fldCharType="begin"/>
    </w:r>
    <w:r w:rsidR="002212BB">
      <w:rPr>
        <w:b/>
        <w:bCs/>
      </w:rPr>
      <w:instrText>PAGE</w:instrText>
    </w:r>
    <w:r w:rsidR="002212BB">
      <w:rPr>
        <w:b/>
        <w:bCs/>
        <w:sz w:val="24"/>
        <w:szCs w:val="24"/>
      </w:rPr>
      <w:fldChar w:fldCharType="separate"/>
    </w:r>
    <w:r w:rsidR="002212BB">
      <w:rPr>
        <w:b/>
        <w:bCs/>
        <w:noProof/>
      </w:rPr>
      <w:t>1</w:t>
    </w:r>
    <w:r w:rsidR="002212BB">
      <w:rPr>
        <w:b/>
        <w:bCs/>
        <w:sz w:val="24"/>
        <w:szCs w:val="24"/>
      </w:rPr>
      <w:fldChar w:fldCharType="end"/>
    </w:r>
    <w:r w:rsidR="002212BB">
      <w:rPr>
        <w:lang w:val="zh-CN"/>
      </w:rPr>
      <w:t xml:space="preserve"> / </w:t>
    </w:r>
    <w:r w:rsidR="002212BB">
      <w:rPr>
        <w:b/>
        <w:bCs/>
        <w:sz w:val="24"/>
        <w:szCs w:val="24"/>
      </w:rPr>
      <w:fldChar w:fldCharType="begin"/>
    </w:r>
    <w:r w:rsidR="002212BB">
      <w:rPr>
        <w:b/>
        <w:bCs/>
      </w:rPr>
      <w:instrText>NUMPAGES</w:instrText>
    </w:r>
    <w:r w:rsidR="002212BB">
      <w:rPr>
        <w:b/>
        <w:bCs/>
        <w:sz w:val="24"/>
        <w:szCs w:val="24"/>
      </w:rPr>
      <w:fldChar w:fldCharType="separate"/>
    </w:r>
    <w:r w:rsidR="002212BB">
      <w:rPr>
        <w:b/>
        <w:bCs/>
        <w:noProof/>
      </w:rPr>
      <w:t>1</w:t>
    </w:r>
    <w:r w:rsidR="002212BB">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D3E9" w14:textId="77777777" w:rsidR="00A613A0" w:rsidRDefault="00A613A0" w:rsidP="00425B93">
      <w:r>
        <w:separator/>
      </w:r>
    </w:p>
  </w:footnote>
  <w:footnote w:type="continuationSeparator" w:id="0">
    <w:p w14:paraId="018DD8C0" w14:textId="77777777" w:rsidR="00A613A0" w:rsidRDefault="00A613A0" w:rsidP="0042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D5CC" w14:textId="77777777" w:rsidR="002212BB" w:rsidRDefault="002212BB">
    <w:r>
      <w:rPr>
        <w:noProof/>
      </w:rPr>
      <w:drawing>
        <wp:anchor distT="0" distB="0" distL="114300" distR="114300" simplePos="0" relativeHeight="251657216" behindDoc="0" locked="0" layoutInCell="1" allowOverlap="1" wp14:anchorId="19BBD5CF" wp14:editId="19BBD5D0">
          <wp:simplePos x="0" y="0"/>
          <wp:positionH relativeFrom="column">
            <wp:posOffset>-159385</wp:posOffset>
          </wp:positionH>
          <wp:positionV relativeFrom="paragraph">
            <wp:posOffset>-86995</wp:posOffset>
          </wp:positionV>
          <wp:extent cx="6572250" cy="960120"/>
          <wp:effectExtent l="0" t="0" r="0" b="0"/>
          <wp:wrapNone/>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noChangeArrowheads="1"/>
                  </pic:cNvPicPr>
                </pic:nvPicPr>
                <pic:blipFill>
                  <a:blip r:embed="rId1"/>
                  <a:srcRect/>
                  <a:stretch>
                    <a:fillRect/>
                  </a:stretch>
                </pic:blipFill>
                <pic:spPr>
                  <a:xfrm>
                    <a:off x="0" y="0"/>
                    <a:ext cx="6572250" cy="960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369D8"/>
    <w:rsid w:val="00001083"/>
    <w:rsid w:val="000010D0"/>
    <w:rsid w:val="00002556"/>
    <w:rsid w:val="0000554E"/>
    <w:rsid w:val="000122C0"/>
    <w:rsid w:val="000153A8"/>
    <w:rsid w:val="000170C8"/>
    <w:rsid w:val="00017BF7"/>
    <w:rsid w:val="0002257C"/>
    <w:rsid w:val="0002312F"/>
    <w:rsid w:val="000231FC"/>
    <w:rsid w:val="0002324E"/>
    <w:rsid w:val="000239B9"/>
    <w:rsid w:val="00034FAF"/>
    <w:rsid w:val="0003553B"/>
    <w:rsid w:val="00042427"/>
    <w:rsid w:val="00042764"/>
    <w:rsid w:val="00042873"/>
    <w:rsid w:val="000444BE"/>
    <w:rsid w:val="000454FC"/>
    <w:rsid w:val="000550A3"/>
    <w:rsid w:val="00055D93"/>
    <w:rsid w:val="00056136"/>
    <w:rsid w:val="00057438"/>
    <w:rsid w:val="00061347"/>
    <w:rsid w:val="00061F8A"/>
    <w:rsid w:val="000621B9"/>
    <w:rsid w:val="000624C2"/>
    <w:rsid w:val="00064E48"/>
    <w:rsid w:val="000754DD"/>
    <w:rsid w:val="00075A5B"/>
    <w:rsid w:val="0007642F"/>
    <w:rsid w:val="0008022B"/>
    <w:rsid w:val="00081EAE"/>
    <w:rsid w:val="00083518"/>
    <w:rsid w:val="0008581A"/>
    <w:rsid w:val="000859B7"/>
    <w:rsid w:val="0009237B"/>
    <w:rsid w:val="00092EAF"/>
    <w:rsid w:val="000954D9"/>
    <w:rsid w:val="0009599D"/>
    <w:rsid w:val="00095B0D"/>
    <w:rsid w:val="00096D00"/>
    <w:rsid w:val="000975F2"/>
    <w:rsid w:val="00097D22"/>
    <w:rsid w:val="000A39C5"/>
    <w:rsid w:val="000A43FD"/>
    <w:rsid w:val="000A4D21"/>
    <w:rsid w:val="000A4EB0"/>
    <w:rsid w:val="000A59DA"/>
    <w:rsid w:val="000B1867"/>
    <w:rsid w:val="000B39CD"/>
    <w:rsid w:val="000B3B8C"/>
    <w:rsid w:val="000B6396"/>
    <w:rsid w:val="000B6E50"/>
    <w:rsid w:val="000B7DCB"/>
    <w:rsid w:val="000C01AE"/>
    <w:rsid w:val="000C37AE"/>
    <w:rsid w:val="000C4A70"/>
    <w:rsid w:val="000C5E3C"/>
    <w:rsid w:val="000C6E3E"/>
    <w:rsid w:val="000D3AE7"/>
    <w:rsid w:val="000D5B3F"/>
    <w:rsid w:val="000D66D1"/>
    <w:rsid w:val="000D6CAF"/>
    <w:rsid w:val="000D6F80"/>
    <w:rsid w:val="000E07E9"/>
    <w:rsid w:val="000E0ADE"/>
    <w:rsid w:val="000E18DE"/>
    <w:rsid w:val="000E4D4C"/>
    <w:rsid w:val="000E5847"/>
    <w:rsid w:val="000E5BED"/>
    <w:rsid w:val="000F51C5"/>
    <w:rsid w:val="000F5B08"/>
    <w:rsid w:val="000F6FB6"/>
    <w:rsid w:val="00100F1E"/>
    <w:rsid w:val="00104D50"/>
    <w:rsid w:val="00113B59"/>
    <w:rsid w:val="001146FD"/>
    <w:rsid w:val="0011726E"/>
    <w:rsid w:val="00117346"/>
    <w:rsid w:val="00120758"/>
    <w:rsid w:val="0012126D"/>
    <w:rsid w:val="00121DCB"/>
    <w:rsid w:val="00125836"/>
    <w:rsid w:val="00126948"/>
    <w:rsid w:val="00130AB1"/>
    <w:rsid w:val="0013195D"/>
    <w:rsid w:val="00132EE3"/>
    <w:rsid w:val="00133B4C"/>
    <w:rsid w:val="00143866"/>
    <w:rsid w:val="001438C1"/>
    <w:rsid w:val="001438DA"/>
    <w:rsid w:val="0014607C"/>
    <w:rsid w:val="001467F5"/>
    <w:rsid w:val="001506B4"/>
    <w:rsid w:val="001509C7"/>
    <w:rsid w:val="0015434A"/>
    <w:rsid w:val="001579D7"/>
    <w:rsid w:val="00162C71"/>
    <w:rsid w:val="00171BE1"/>
    <w:rsid w:val="00182190"/>
    <w:rsid w:val="001821CC"/>
    <w:rsid w:val="00183365"/>
    <w:rsid w:val="0019004E"/>
    <w:rsid w:val="001920F8"/>
    <w:rsid w:val="00192540"/>
    <w:rsid w:val="001926AE"/>
    <w:rsid w:val="00192C22"/>
    <w:rsid w:val="0019377F"/>
    <w:rsid w:val="001976D2"/>
    <w:rsid w:val="00197B7A"/>
    <w:rsid w:val="001A120B"/>
    <w:rsid w:val="001A2411"/>
    <w:rsid w:val="001A2D7F"/>
    <w:rsid w:val="001A53D5"/>
    <w:rsid w:val="001A743B"/>
    <w:rsid w:val="001B08F0"/>
    <w:rsid w:val="001B24C3"/>
    <w:rsid w:val="001C129A"/>
    <w:rsid w:val="001C16F3"/>
    <w:rsid w:val="001C5791"/>
    <w:rsid w:val="001C7138"/>
    <w:rsid w:val="001D2FB1"/>
    <w:rsid w:val="001D401A"/>
    <w:rsid w:val="001D4645"/>
    <w:rsid w:val="001D7D8B"/>
    <w:rsid w:val="001E061F"/>
    <w:rsid w:val="001E131D"/>
    <w:rsid w:val="001E18EF"/>
    <w:rsid w:val="001E315E"/>
    <w:rsid w:val="001E47C8"/>
    <w:rsid w:val="001E4D1B"/>
    <w:rsid w:val="001E763E"/>
    <w:rsid w:val="001E7C06"/>
    <w:rsid w:val="001F0DA2"/>
    <w:rsid w:val="001F16C3"/>
    <w:rsid w:val="001F4017"/>
    <w:rsid w:val="001F542E"/>
    <w:rsid w:val="002009A0"/>
    <w:rsid w:val="00201E89"/>
    <w:rsid w:val="00206A17"/>
    <w:rsid w:val="00207D3A"/>
    <w:rsid w:val="0021019F"/>
    <w:rsid w:val="00210387"/>
    <w:rsid w:val="002103EB"/>
    <w:rsid w:val="00210D3A"/>
    <w:rsid w:val="00214791"/>
    <w:rsid w:val="00215263"/>
    <w:rsid w:val="002212BB"/>
    <w:rsid w:val="00223DEC"/>
    <w:rsid w:val="00224097"/>
    <w:rsid w:val="002264B2"/>
    <w:rsid w:val="00227E85"/>
    <w:rsid w:val="00230007"/>
    <w:rsid w:val="00231158"/>
    <w:rsid w:val="00231577"/>
    <w:rsid w:val="0023516A"/>
    <w:rsid w:val="002366DB"/>
    <w:rsid w:val="002442BD"/>
    <w:rsid w:val="0024665B"/>
    <w:rsid w:val="00247EA4"/>
    <w:rsid w:val="00255C6F"/>
    <w:rsid w:val="00256A6A"/>
    <w:rsid w:val="00257616"/>
    <w:rsid w:val="00261ECF"/>
    <w:rsid w:val="00264F90"/>
    <w:rsid w:val="0026554A"/>
    <w:rsid w:val="002657D6"/>
    <w:rsid w:val="002672EA"/>
    <w:rsid w:val="00270967"/>
    <w:rsid w:val="00271A22"/>
    <w:rsid w:val="00271E57"/>
    <w:rsid w:val="002741DA"/>
    <w:rsid w:val="002751CE"/>
    <w:rsid w:val="00276A09"/>
    <w:rsid w:val="00283C8F"/>
    <w:rsid w:val="00284802"/>
    <w:rsid w:val="00285A99"/>
    <w:rsid w:val="00287678"/>
    <w:rsid w:val="00291CA4"/>
    <w:rsid w:val="002921DA"/>
    <w:rsid w:val="002933AA"/>
    <w:rsid w:val="00296011"/>
    <w:rsid w:val="00297183"/>
    <w:rsid w:val="00297253"/>
    <w:rsid w:val="002A079F"/>
    <w:rsid w:val="002B0169"/>
    <w:rsid w:val="002B0D1D"/>
    <w:rsid w:val="002B2657"/>
    <w:rsid w:val="002B6ADE"/>
    <w:rsid w:val="002C073E"/>
    <w:rsid w:val="002C18C6"/>
    <w:rsid w:val="002C2D7A"/>
    <w:rsid w:val="002C4077"/>
    <w:rsid w:val="002C7BE8"/>
    <w:rsid w:val="002D0500"/>
    <w:rsid w:val="002D0709"/>
    <w:rsid w:val="002D13D5"/>
    <w:rsid w:val="002D181C"/>
    <w:rsid w:val="002D2289"/>
    <w:rsid w:val="002D601B"/>
    <w:rsid w:val="002D6598"/>
    <w:rsid w:val="002E0C24"/>
    <w:rsid w:val="002E126F"/>
    <w:rsid w:val="002E4A28"/>
    <w:rsid w:val="002E5E14"/>
    <w:rsid w:val="002F098D"/>
    <w:rsid w:val="002F3747"/>
    <w:rsid w:val="002F5429"/>
    <w:rsid w:val="002F5C5E"/>
    <w:rsid w:val="003007EA"/>
    <w:rsid w:val="00302DE4"/>
    <w:rsid w:val="0030307D"/>
    <w:rsid w:val="003031C6"/>
    <w:rsid w:val="00310AF1"/>
    <w:rsid w:val="00310E61"/>
    <w:rsid w:val="0031326C"/>
    <w:rsid w:val="003152BF"/>
    <w:rsid w:val="0031686A"/>
    <w:rsid w:val="00316ACB"/>
    <w:rsid w:val="00321615"/>
    <w:rsid w:val="003229C3"/>
    <w:rsid w:val="003244A8"/>
    <w:rsid w:val="00326AE7"/>
    <w:rsid w:val="00327511"/>
    <w:rsid w:val="00332F02"/>
    <w:rsid w:val="00335C96"/>
    <w:rsid w:val="0034304F"/>
    <w:rsid w:val="003443E8"/>
    <w:rsid w:val="003444E6"/>
    <w:rsid w:val="0034573E"/>
    <w:rsid w:val="00345DA6"/>
    <w:rsid w:val="00347618"/>
    <w:rsid w:val="00347DF7"/>
    <w:rsid w:val="00352F7B"/>
    <w:rsid w:val="003579EF"/>
    <w:rsid w:val="00360573"/>
    <w:rsid w:val="0036083F"/>
    <w:rsid w:val="00361C9D"/>
    <w:rsid w:val="00361FC1"/>
    <w:rsid w:val="003660EF"/>
    <w:rsid w:val="00367CF2"/>
    <w:rsid w:val="00371F0F"/>
    <w:rsid w:val="003729EA"/>
    <w:rsid w:val="00373C31"/>
    <w:rsid w:val="00374A4A"/>
    <w:rsid w:val="00380E4B"/>
    <w:rsid w:val="00384833"/>
    <w:rsid w:val="00384FD4"/>
    <w:rsid w:val="00385706"/>
    <w:rsid w:val="00386BF9"/>
    <w:rsid w:val="00386F28"/>
    <w:rsid w:val="00394AE7"/>
    <w:rsid w:val="00396DF6"/>
    <w:rsid w:val="003A07EE"/>
    <w:rsid w:val="003A14DE"/>
    <w:rsid w:val="003A2473"/>
    <w:rsid w:val="003A6026"/>
    <w:rsid w:val="003A612F"/>
    <w:rsid w:val="003A6322"/>
    <w:rsid w:val="003A7A0F"/>
    <w:rsid w:val="003B02FC"/>
    <w:rsid w:val="003B0305"/>
    <w:rsid w:val="003B067E"/>
    <w:rsid w:val="003B0C3A"/>
    <w:rsid w:val="003B2CC9"/>
    <w:rsid w:val="003B45E3"/>
    <w:rsid w:val="003B5821"/>
    <w:rsid w:val="003B5E5A"/>
    <w:rsid w:val="003B62DF"/>
    <w:rsid w:val="003C0125"/>
    <w:rsid w:val="003C0AE5"/>
    <w:rsid w:val="003C54F4"/>
    <w:rsid w:val="003C6630"/>
    <w:rsid w:val="003D11DA"/>
    <w:rsid w:val="003D1412"/>
    <w:rsid w:val="003D2B4B"/>
    <w:rsid w:val="003D3B2B"/>
    <w:rsid w:val="003D488E"/>
    <w:rsid w:val="003D59D6"/>
    <w:rsid w:val="003D5B8F"/>
    <w:rsid w:val="003E38BB"/>
    <w:rsid w:val="003E3944"/>
    <w:rsid w:val="003E6B73"/>
    <w:rsid w:val="003F06B6"/>
    <w:rsid w:val="003F06F4"/>
    <w:rsid w:val="003F09D5"/>
    <w:rsid w:val="003F1877"/>
    <w:rsid w:val="003F1DED"/>
    <w:rsid w:val="003F58B5"/>
    <w:rsid w:val="003F637A"/>
    <w:rsid w:val="003F7652"/>
    <w:rsid w:val="003F7797"/>
    <w:rsid w:val="00400E33"/>
    <w:rsid w:val="00401C78"/>
    <w:rsid w:val="00402700"/>
    <w:rsid w:val="00403BCC"/>
    <w:rsid w:val="00406669"/>
    <w:rsid w:val="00406940"/>
    <w:rsid w:val="0040757F"/>
    <w:rsid w:val="00407E7C"/>
    <w:rsid w:val="0041101D"/>
    <w:rsid w:val="00413E34"/>
    <w:rsid w:val="004155F7"/>
    <w:rsid w:val="00416A58"/>
    <w:rsid w:val="00421CB0"/>
    <w:rsid w:val="00421D34"/>
    <w:rsid w:val="004246FF"/>
    <w:rsid w:val="0042528F"/>
    <w:rsid w:val="00425B93"/>
    <w:rsid w:val="00427537"/>
    <w:rsid w:val="00427563"/>
    <w:rsid w:val="00427A5B"/>
    <w:rsid w:val="004309B9"/>
    <w:rsid w:val="00431FF1"/>
    <w:rsid w:val="004336B8"/>
    <w:rsid w:val="004336DA"/>
    <w:rsid w:val="00433D33"/>
    <w:rsid w:val="00436603"/>
    <w:rsid w:val="004366DD"/>
    <w:rsid w:val="0044446B"/>
    <w:rsid w:val="004447E0"/>
    <w:rsid w:val="00445BA4"/>
    <w:rsid w:val="00446C59"/>
    <w:rsid w:val="00447383"/>
    <w:rsid w:val="004479F7"/>
    <w:rsid w:val="00447C7F"/>
    <w:rsid w:val="004511D1"/>
    <w:rsid w:val="00452C2C"/>
    <w:rsid w:val="00452EE9"/>
    <w:rsid w:val="00453698"/>
    <w:rsid w:val="004540A4"/>
    <w:rsid w:val="004569DD"/>
    <w:rsid w:val="004626DB"/>
    <w:rsid w:val="00465952"/>
    <w:rsid w:val="00467614"/>
    <w:rsid w:val="00474A63"/>
    <w:rsid w:val="004752C8"/>
    <w:rsid w:val="004761E9"/>
    <w:rsid w:val="00476A1C"/>
    <w:rsid w:val="00481DEF"/>
    <w:rsid w:val="00486C72"/>
    <w:rsid w:val="00490DF0"/>
    <w:rsid w:val="00491D95"/>
    <w:rsid w:val="004923F3"/>
    <w:rsid w:val="00492D33"/>
    <w:rsid w:val="00496715"/>
    <w:rsid w:val="004A240B"/>
    <w:rsid w:val="004A3154"/>
    <w:rsid w:val="004A31CD"/>
    <w:rsid w:val="004A37B6"/>
    <w:rsid w:val="004A390F"/>
    <w:rsid w:val="004A4E74"/>
    <w:rsid w:val="004A6D16"/>
    <w:rsid w:val="004A7042"/>
    <w:rsid w:val="004B0ECE"/>
    <w:rsid w:val="004B4707"/>
    <w:rsid w:val="004B591F"/>
    <w:rsid w:val="004B710B"/>
    <w:rsid w:val="004C02C6"/>
    <w:rsid w:val="004C1265"/>
    <w:rsid w:val="004C15BA"/>
    <w:rsid w:val="004C15C4"/>
    <w:rsid w:val="004C180F"/>
    <w:rsid w:val="004C1ED9"/>
    <w:rsid w:val="004C49CA"/>
    <w:rsid w:val="004C7BF0"/>
    <w:rsid w:val="004C7D2B"/>
    <w:rsid w:val="004D0AA7"/>
    <w:rsid w:val="004D0D2D"/>
    <w:rsid w:val="004D4273"/>
    <w:rsid w:val="004D46A2"/>
    <w:rsid w:val="004D556D"/>
    <w:rsid w:val="004E0B27"/>
    <w:rsid w:val="004E373F"/>
    <w:rsid w:val="004E64B2"/>
    <w:rsid w:val="004E65FF"/>
    <w:rsid w:val="004F2BE7"/>
    <w:rsid w:val="004F352A"/>
    <w:rsid w:val="004F45B9"/>
    <w:rsid w:val="004F5A25"/>
    <w:rsid w:val="0050268B"/>
    <w:rsid w:val="00502ACC"/>
    <w:rsid w:val="00503A58"/>
    <w:rsid w:val="005057B3"/>
    <w:rsid w:val="005057FF"/>
    <w:rsid w:val="005066D8"/>
    <w:rsid w:val="005075FF"/>
    <w:rsid w:val="00507F9C"/>
    <w:rsid w:val="00510724"/>
    <w:rsid w:val="005107A7"/>
    <w:rsid w:val="00511AF6"/>
    <w:rsid w:val="0051310F"/>
    <w:rsid w:val="0052098E"/>
    <w:rsid w:val="005271A4"/>
    <w:rsid w:val="0053134A"/>
    <w:rsid w:val="00533789"/>
    <w:rsid w:val="00534065"/>
    <w:rsid w:val="005355A3"/>
    <w:rsid w:val="00545AD7"/>
    <w:rsid w:val="00546D0A"/>
    <w:rsid w:val="005525B4"/>
    <w:rsid w:val="00555FBF"/>
    <w:rsid w:val="0055732E"/>
    <w:rsid w:val="00557C17"/>
    <w:rsid w:val="00560BDA"/>
    <w:rsid w:val="0056289B"/>
    <w:rsid w:val="00563FF6"/>
    <w:rsid w:val="005644FE"/>
    <w:rsid w:val="00565163"/>
    <w:rsid w:val="005662B2"/>
    <w:rsid w:val="00566542"/>
    <w:rsid w:val="005675F5"/>
    <w:rsid w:val="0057070A"/>
    <w:rsid w:val="00573B6E"/>
    <w:rsid w:val="00575304"/>
    <w:rsid w:val="0057575C"/>
    <w:rsid w:val="00576F3A"/>
    <w:rsid w:val="0057709F"/>
    <w:rsid w:val="00577319"/>
    <w:rsid w:val="005774D8"/>
    <w:rsid w:val="00582040"/>
    <w:rsid w:val="005824ED"/>
    <w:rsid w:val="005824FE"/>
    <w:rsid w:val="00586AC6"/>
    <w:rsid w:val="0059028C"/>
    <w:rsid w:val="005932FA"/>
    <w:rsid w:val="005933BF"/>
    <w:rsid w:val="005945D5"/>
    <w:rsid w:val="005968A6"/>
    <w:rsid w:val="00596A9F"/>
    <w:rsid w:val="005A00AB"/>
    <w:rsid w:val="005A4B38"/>
    <w:rsid w:val="005B11FB"/>
    <w:rsid w:val="005B1980"/>
    <w:rsid w:val="005B2317"/>
    <w:rsid w:val="005B3D59"/>
    <w:rsid w:val="005B4AB4"/>
    <w:rsid w:val="005B61F8"/>
    <w:rsid w:val="005B730A"/>
    <w:rsid w:val="005C11F0"/>
    <w:rsid w:val="005C1A73"/>
    <w:rsid w:val="005C38BE"/>
    <w:rsid w:val="005C4850"/>
    <w:rsid w:val="005C5ACC"/>
    <w:rsid w:val="005D0006"/>
    <w:rsid w:val="005D04E5"/>
    <w:rsid w:val="005D0E30"/>
    <w:rsid w:val="005D25D3"/>
    <w:rsid w:val="005D39AC"/>
    <w:rsid w:val="005D799C"/>
    <w:rsid w:val="005E50CE"/>
    <w:rsid w:val="005E5677"/>
    <w:rsid w:val="005E6AAB"/>
    <w:rsid w:val="005F1783"/>
    <w:rsid w:val="005F18F1"/>
    <w:rsid w:val="005F2124"/>
    <w:rsid w:val="005F3FFF"/>
    <w:rsid w:val="00600EC6"/>
    <w:rsid w:val="00603F7D"/>
    <w:rsid w:val="00607167"/>
    <w:rsid w:val="00607A8C"/>
    <w:rsid w:val="00616423"/>
    <w:rsid w:val="00620B73"/>
    <w:rsid w:val="00622AB9"/>
    <w:rsid w:val="006247D0"/>
    <w:rsid w:val="00625AA9"/>
    <w:rsid w:val="00632024"/>
    <w:rsid w:val="0063292F"/>
    <w:rsid w:val="006335D0"/>
    <w:rsid w:val="006349CA"/>
    <w:rsid w:val="00635B05"/>
    <w:rsid w:val="00635FD4"/>
    <w:rsid w:val="006366C6"/>
    <w:rsid w:val="006416C1"/>
    <w:rsid w:val="00641ED7"/>
    <w:rsid w:val="00642D07"/>
    <w:rsid w:val="00643616"/>
    <w:rsid w:val="006449FB"/>
    <w:rsid w:val="006513CA"/>
    <w:rsid w:val="006536BE"/>
    <w:rsid w:val="0065532D"/>
    <w:rsid w:val="00657B08"/>
    <w:rsid w:val="0066217A"/>
    <w:rsid w:val="00662D57"/>
    <w:rsid w:val="00664241"/>
    <w:rsid w:val="0066574B"/>
    <w:rsid w:val="006672C3"/>
    <w:rsid w:val="0067226F"/>
    <w:rsid w:val="006749AD"/>
    <w:rsid w:val="006759FF"/>
    <w:rsid w:val="00677D66"/>
    <w:rsid w:val="00677E78"/>
    <w:rsid w:val="00680CFF"/>
    <w:rsid w:val="00680FDB"/>
    <w:rsid w:val="006815F1"/>
    <w:rsid w:val="00684096"/>
    <w:rsid w:val="00687D66"/>
    <w:rsid w:val="00691224"/>
    <w:rsid w:val="00695F6C"/>
    <w:rsid w:val="00696609"/>
    <w:rsid w:val="006978CE"/>
    <w:rsid w:val="00697937"/>
    <w:rsid w:val="006A355C"/>
    <w:rsid w:val="006A39F5"/>
    <w:rsid w:val="006A4ADD"/>
    <w:rsid w:val="006A4BF7"/>
    <w:rsid w:val="006A598C"/>
    <w:rsid w:val="006B042D"/>
    <w:rsid w:val="006B1C89"/>
    <w:rsid w:val="006B4786"/>
    <w:rsid w:val="006C0515"/>
    <w:rsid w:val="006C1497"/>
    <w:rsid w:val="006C153F"/>
    <w:rsid w:val="006C1EB9"/>
    <w:rsid w:val="006C2CE0"/>
    <w:rsid w:val="006C3752"/>
    <w:rsid w:val="006C4D92"/>
    <w:rsid w:val="006C4E1F"/>
    <w:rsid w:val="006C52FD"/>
    <w:rsid w:val="006C53D6"/>
    <w:rsid w:val="006C6A31"/>
    <w:rsid w:val="006C77E1"/>
    <w:rsid w:val="006D46F5"/>
    <w:rsid w:val="006D5503"/>
    <w:rsid w:val="006D7003"/>
    <w:rsid w:val="006F1EF7"/>
    <w:rsid w:val="006F3437"/>
    <w:rsid w:val="006F3D10"/>
    <w:rsid w:val="006F4F5E"/>
    <w:rsid w:val="006F554F"/>
    <w:rsid w:val="006F7189"/>
    <w:rsid w:val="00702A16"/>
    <w:rsid w:val="007052B7"/>
    <w:rsid w:val="007073D0"/>
    <w:rsid w:val="0071100C"/>
    <w:rsid w:val="0071266E"/>
    <w:rsid w:val="00712819"/>
    <w:rsid w:val="007128DF"/>
    <w:rsid w:val="00717C95"/>
    <w:rsid w:val="007220C9"/>
    <w:rsid w:val="00723332"/>
    <w:rsid w:val="007239D9"/>
    <w:rsid w:val="007245D4"/>
    <w:rsid w:val="007254EF"/>
    <w:rsid w:val="007260F5"/>
    <w:rsid w:val="00732BCD"/>
    <w:rsid w:val="007348C2"/>
    <w:rsid w:val="0073565A"/>
    <w:rsid w:val="007362F4"/>
    <w:rsid w:val="007403F8"/>
    <w:rsid w:val="007411A9"/>
    <w:rsid w:val="007411E5"/>
    <w:rsid w:val="00742238"/>
    <w:rsid w:val="00743B7E"/>
    <w:rsid w:val="007444F1"/>
    <w:rsid w:val="00745C9B"/>
    <w:rsid w:val="0075213E"/>
    <w:rsid w:val="00753160"/>
    <w:rsid w:val="00753566"/>
    <w:rsid w:val="00753838"/>
    <w:rsid w:val="00753D7A"/>
    <w:rsid w:val="00754AE7"/>
    <w:rsid w:val="00755B45"/>
    <w:rsid w:val="00757698"/>
    <w:rsid w:val="007657F9"/>
    <w:rsid w:val="0077490F"/>
    <w:rsid w:val="00777838"/>
    <w:rsid w:val="00780474"/>
    <w:rsid w:val="00784579"/>
    <w:rsid w:val="0078553C"/>
    <w:rsid w:val="00790E84"/>
    <w:rsid w:val="0079190B"/>
    <w:rsid w:val="00791EA6"/>
    <w:rsid w:val="00796AB0"/>
    <w:rsid w:val="007A053B"/>
    <w:rsid w:val="007A0D76"/>
    <w:rsid w:val="007A1848"/>
    <w:rsid w:val="007B0AC6"/>
    <w:rsid w:val="007B2C63"/>
    <w:rsid w:val="007B4466"/>
    <w:rsid w:val="007B469A"/>
    <w:rsid w:val="007C13AD"/>
    <w:rsid w:val="007C2544"/>
    <w:rsid w:val="007C5C22"/>
    <w:rsid w:val="007D0B2F"/>
    <w:rsid w:val="007D1828"/>
    <w:rsid w:val="007D352B"/>
    <w:rsid w:val="007D64CE"/>
    <w:rsid w:val="007D6F55"/>
    <w:rsid w:val="007E1463"/>
    <w:rsid w:val="007E249B"/>
    <w:rsid w:val="007E48EC"/>
    <w:rsid w:val="007E5516"/>
    <w:rsid w:val="007E5D38"/>
    <w:rsid w:val="007E7218"/>
    <w:rsid w:val="007F348F"/>
    <w:rsid w:val="007F3994"/>
    <w:rsid w:val="007F4415"/>
    <w:rsid w:val="007F4AA3"/>
    <w:rsid w:val="007F5D74"/>
    <w:rsid w:val="007F6E63"/>
    <w:rsid w:val="007F7C99"/>
    <w:rsid w:val="00800AA6"/>
    <w:rsid w:val="00803FD8"/>
    <w:rsid w:val="00821AD8"/>
    <w:rsid w:val="008229EA"/>
    <w:rsid w:val="00826004"/>
    <w:rsid w:val="00826F6F"/>
    <w:rsid w:val="00827383"/>
    <w:rsid w:val="0082799B"/>
    <w:rsid w:val="00830A73"/>
    <w:rsid w:val="008311D7"/>
    <w:rsid w:val="008344BD"/>
    <w:rsid w:val="0083461B"/>
    <w:rsid w:val="00835EBF"/>
    <w:rsid w:val="00837756"/>
    <w:rsid w:val="00837A89"/>
    <w:rsid w:val="0084311F"/>
    <w:rsid w:val="008434F6"/>
    <w:rsid w:val="00844901"/>
    <w:rsid w:val="00845137"/>
    <w:rsid w:val="00845B56"/>
    <w:rsid w:val="00850865"/>
    <w:rsid w:val="008516C4"/>
    <w:rsid w:val="00852315"/>
    <w:rsid w:val="00853711"/>
    <w:rsid w:val="0085435B"/>
    <w:rsid w:val="00854EC9"/>
    <w:rsid w:val="008605A5"/>
    <w:rsid w:val="00862F7E"/>
    <w:rsid w:val="0086468C"/>
    <w:rsid w:val="008658EE"/>
    <w:rsid w:val="008659C3"/>
    <w:rsid w:val="00867596"/>
    <w:rsid w:val="00867DF0"/>
    <w:rsid w:val="00870382"/>
    <w:rsid w:val="0087641A"/>
    <w:rsid w:val="008771DC"/>
    <w:rsid w:val="00877AFF"/>
    <w:rsid w:val="00877EAA"/>
    <w:rsid w:val="00881375"/>
    <w:rsid w:val="008822AF"/>
    <w:rsid w:val="008841BA"/>
    <w:rsid w:val="0088469D"/>
    <w:rsid w:val="008909A0"/>
    <w:rsid w:val="008921F6"/>
    <w:rsid w:val="00892668"/>
    <w:rsid w:val="008928FA"/>
    <w:rsid w:val="0089358A"/>
    <w:rsid w:val="00895034"/>
    <w:rsid w:val="00896AD8"/>
    <w:rsid w:val="0089746A"/>
    <w:rsid w:val="008A028A"/>
    <w:rsid w:val="008A0D24"/>
    <w:rsid w:val="008A21BD"/>
    <w:rsid w:val="008A554A"/>
    <w:rsid w:val="008B018A"/>
    <w:rsid w:val="008B1306"/>
    <w:rsid w:val="008B16FD"/>
    <w:rsid w:val="008B1727"/>
    <w:rsid w:val="008B281C"/>
    <w:rsid w:val="008B537D"/>
    <w:rsid w:val="008B5D62"/>
    <w:rsid w:val="008B6036"/>
    <w:rsid w:val="008C1BD0"/>
    <w:rsid w:val="008C7306"/>
    <w:rsid w:val="008D316C"/>
    <w:rsid w:val="008D5AB4"/>
    <w:rsid w:val="008D6186"/>
    <w:rsid w:val="008D6F8A"/>
    <w:rsid w:val="008D75C3"/>
    <w:rsid w:val="008D7C2D"/>
    <w:rsid w:val="008E0357"/>
    <w:rsid w:val="008E0397"/>
    <w:rsid w:val="008E1544"/>
    <w:rsid w:val="008E330F"/>
    <w:rsid w:val="008E3A74"/>
    <w:rsid w:val="008E5224"/>
    <w:rsid w:val="008F28E5"/>
    <w:rsid w:val="008F607F"/>
    <w:rsid w:val="008F7932"/>
    <w:rsid w:val="0090175A"/>
    <w:rsid w:val="00905D3B"/>
    <w:rsid w:val="009063F4"/>
    <w:rsid w:val="009118EE"/>
    <w:rsid w:val="009126BF"/>
    <w:rsid w:val="009127DC"/>
    <w:rsid w:val="00912C28"/>
    <w:rsid w:val="00914095"/>
    <w:rsid w:val="00915784"/>
    <w:rsid w:val="00917F07"/>
    <w:rsid w:val="0092227D"/>
    <w:rsid w:val="00922485"/>
    <w:rsid w:val="00922F1B"/>
    <w:rsid w:val="0092387B"/>
    <w:rsid w:val="0093069B"/>
    <w:rsid w:val="00931D2E"/>
    <w:rsid w:val="00934B6E"/>
    <w:rsid w:val="00937E45"/>
    <w:rsid w:val="00940BC4"/>
    <w:rsid w:val="00946744"/>
    <w:rsid w:val="009471C6"/>
    <w:rsid w:val="00951D35"/>
    <w:rsid w:val="00952575"/>
    <w:rsid w:val="00954643"/>
    <w:rsid w:val="00954862"/>
    <w:rsid w:val="00955624"/>
    <w:rsid w:val="00957643"/>
    <w:rsid w:val="00957A1C"/>
    <w:rsid w:val="0096119B"/>
    <w:rsid w:val="009623BB"/>
    <w:rsid w:val="00963CF6"/>
    <w:rsid w:val="00965D7E"/>
    <w:rsid w:val="00965E5B"/>
    <w:rsid w:val="0096617E"/>
    <w:rsid w:val="009671A8"/>
    <w:rsid w:val="00967D1A"/>
    <w:rsid w:val="00980917"/>
    <w:rsid w:val="0098212A"/>
    <w:rsid w:val="00987DEF"/>
    <w:rsid w:val="0099036B"/>
    <w:rsid w:val="009903B8"/>
    <w:rsid w:val="00991663"/>
    <w:rsid w:val="00993A61"/>
    <w:rsid w:val="009944F7"/>
    <w:rsid w:val="00994E0D"/>
    <w:rsid w:val="00994F1C"/>
    <w:rsid w:val="00996858"/>
    <w:rsid w:val="009A1C22"/>
    <w:rsid w:val="009A2789"/>
    <w:rsid w:val="009A4545"/>
    <w:rsid w:val="009B04DF"/>
    <w:rsid w:val="009B185A"/>
    <w:rsid w:val="009B19FE"/>
    <w:rsid w:val="009B21B9"/>
    <w:rsid w:val="009C110D"/>
    <w:rsid w:val="009C5994"/>
    <w:rsid w:val="009D4DDF"/>
    <w:rsid w:val="009D567F"/>
    <w:rsid w:val="009D6710"/>
    <w:rsid w:val="009D79CB"/>
    <w:rsid w:val="009E1606"/>
    <w:rsid w:val="009E5951"/>
    <w:rsid w:val="009E7E31"/>
    <w:rsid w:val="009E7FBF"/>
    <w:rsid w:val="009F1707"/>
    <w:rsid w:val="009F24B7"/>
    <w:rsid w:val="009F2D3E"/>
    <w:rsid w:val="009F4F26"/>
    <w:rsid w:val="009F51AC"/>
    <w:rsid w:val="009F5938"/>
    <w:rsid w:val="00A00033"/>
    <w:rsid w:val="00A0180D"/>
    <w:rsid w:val="00A01A15"/>
    <w:rsid w:val="00A01B02"/>
    <w:rsid w:val="00A02AE8"/>
    <w:rsid w:val="00A03C95"/>
    <w:rsid w:val="00A040F4"/>
    <w:rsid w:val="00A059A2"/>
    <w:rsid w:val="00A06023"/>
    <w:rsid w:val="00A07E11"/>
    <w:rsid w:val="00A07EB6"/>
    <w:rsid w:val="00A109F0"/>
    <w:rsid w:val="00A13214"/>
    <w:rsid w:val="00A14286"/>
    <w:rsid w:val="00A14EB2"/>
    <w:rsid w:val="00A152CF"/>
    <w:rsid w:val="00A20401"/>
    <w:rsid w:val="00A20A87"/>
    <w:rsid w:val="00A20BFE"/>
    <w:rsid w:val="00A233F6"/>
    <w:rsid w:val="00A25877"/>
    <w:rsid w:val="00A262D2"/>
    <w:rsid w:val="00A32248"/>
    <w:rsid w:val="00A344E1"/>
    <w:rsid w:val="00A4044E"/>
    <w:rsid w:val="00A41DA1"/>
    <w:rsid w:val="00A42717"/>
    <w:rsid w:val="00A43356"/>
    <w:rsid w:val="00A449D9"/>
    <w:rsid w:val="00A44E68"/>
    <w:rsid w:val="00A45E86"/>
    <w:rsid w:val="00A45F63"/>
    <w:rsid w:val="00A4717D"/>
    <w:rsid w:val="00A47CEC"/>
    <w:rsid w:val="00A5046A"/>
    <w:rsid w:val="00A50C38"/>
    <w:rsid w:val="00A51B39"/>
    <w:rsid w:val="00A52706"/>
    <w:rsid w:val="00A54B19"/>
    <w:rsid w:val="00A550C7"/>
    <w:rsid w:val="00A60DB1"/>
    <w:rsid w:val="00A60EEC"/>
    <w:rsid w:val="00A613A0"/>
    <w:rsid w:val="00A61F68"/>
    <w:rsid w:val="00A6229C"/>
    <w:rsid w:val="00A627BE"/>
    <w:rsid w:val="00A63BEB"/>
    <w:rsid w:val="00A64883"/>
    <w:rsid w:val="00A750D4"/>
    <w:rsid w:val="00A750D6"/>
    <w:rsid w:val="00A753B8"/>
    <w:rsid w:val="00A77EB2"/>
    <w:rsid w:val="00A80A02"/>
    <w:rsid w:val="00A83E7F"/>
    <w:rsid w:val="00A843E1"/>
    <w:rsid w:val="00A854B9"/>
    <w:rsid w:val="00A907EF"/>
    <w:rsid w:val="00A94666"/>
    <w:rsid w:val="00A957A0"/>
    <w:rsid w:val="00AA082E"/>
    <w:rsid w:val="00AA0C9F"/>
    <w:rsid w:val="00AA0E3B"/>
    <w:rsid w:val="00AA181B"/>
    <w:rsid w:val="00AA23AC"/>
    <w:rsid w:val="00AA2A64"/>
    <w:rsid w:val="00AA2CC8"/>
    <w:rsid w:val="00AA2EEC"/>
    <w:rsid w:val="00AA3938"/>
    <w:rsid w:val="00AA6682"/>
    <w:rsid w:val="00AA7982"/>
    <w:rsid w:val="00AB0B5E"/>
    <w:rsid w:val="00AB35C3"/>
    <w:rsid w:val="00AB386C"/>
    <w:rsid w:val="00AB3EF3"/>
    <w:rsid w:val="00AB45D1"/>
    <w:rsid w:val="00AB60FE"/>
    <w:rsid w:val="00AB6E1B"/>
    <w:rsid w:val="00AC163C"/>
    <w:rsid w:val="00AC2FF0"/>
    <w:rsid w:val="00AC34EA"/>
    <w:rsid w:val="00AC5832"/>
    <w:rsid w:val="00AD06E7"/>
    <w:rsid w:val="00AD33D2"/>
    <w:rsid w:val="00AD3407"/>
    <w:rsid w:val="00AE01BF"/>
    <w:rsid w:val="00AE4724"/>
    <w:rsid w:val="00AE4AE0"/>
    <w:rsid w:val="00AE58DF"/>
    <w:rsid w:val="00AF02D3"/>
    <w:rsid w:val="00AF0EE6"/>
    <w:rsid w:val="00AF26EE"/>
    <w:rsid w:val="00AF2AC4"/>
    <w:rsid w:val="00AF34A8"/>
    <w:rsid w:val="00AF6644"/>
    <w:rsid w:val="00AF6D99"/>
    <w:rsid w:val="00AF7D4D"/>
    <w:rsid w:val="00AF7F92"/>
    <w:rsid w:val="00B01460"/>
    <w:rsid w:val="00B05E8C"/>
    <w:rsid w:val="00B10F2C"/>
    <w:rsid w:val="00B11D26"/>
    <w:rsid w:val="00B12D27"/>
    <w:rsid w:val="00B14392"/>
    <w:rsid w:val="00B164E8"/>
    <w:rsid w:val="00B1700D"/>
    <w:rsid w:val="00B204B2"/>
    <w:rsid w:val="00B21D0A"/>
    <w:rsid w:val="00B337D0"/>
    <w:rsid w:val="00B33DB0"/>
    <w:rsid w:val="00B375BD"/>
    <w:rsid w:val="00B404AD"/>
    <w:rsid w:val="00B411FB"/>
    <w:rsid w:val="00B532E7"/>
    <w:rsid w:val="00B53352"/>
    <w:rsid w:val="00B535C8"/>
    <w:rsid w:val="00B53AE3"/>
    <w:rsid w:val="00B546DC"/>
    <w:rsid w:val="00B57592"/>
    <w:rsid w:val="00B57BD9"/>
    <w:rsid w:val="00B57EDE"/>
    <w:rsid w:val="00B62C05"/>
    <w:rsid w:val="00B630E4"/>
    <w:rsid w:val="00B635D9"/>
    <w:rsid w:val="00B652D8"/>
    <w:rsid w:val="00B66433"/>
    <w:rsid w:val="00B66550"/>
    <w:rsid w:val="00B73FB6"/>
    <w:rsid w:val="00B74550"/>
    <w:rsid w:val="00B75C51"/>
    <w:rsid w:val="00B775D6"/>
    <w:rsid w:val="00B8215D"/>
    <w:rsid w:val="00B832F4"/>
    <w:rsid w:val="00B858BD"/>
    <w:rsid w:val="00B87525"/>
    <w:rsid w:val="00B90D33"/>
    <w:rsid w:val="00B91C0B"/>
    <w:rsid w:val="00B92A72"/>
    <w:rsid w:val="00B9408D"/>
    <w:rsid w:val="00B95C0D"/>
    <w:rsid w:val="00BA06FA"/>
    <w:rsid w:val="00BA3122"/>
    <w:rsid w:val="00BA3CB1"/>
    <w:rsid w:val="00BA700B"/>
    <w:rsid w:val="00BA7CA3"/>
    <w:rsid w:val="00BB0AF1"/>
    <w:rsid w:val="00BB21A9"/>
    <w:rsid w:val="00BB2BFA"/>
    <w:rsid w:val="00BB38A2"/>
    <w:rsid w:val="00BB5930"/>
    <w:rsid w:val="00BB6DAB"/>
    <w:rsid w:val="00BC2846"/>
    <w:rsid w:val="00BC4F28"/>
    <w:rsid w:val="00BC556E"/>
    <w:rsid w:val="00BC5FE3"/>
    <w:rsid w:val="00BC66DB"/>
    <w:rsid w:val="00BC796B"/>
    <w:rsid w:val="00BD056B"/>
    <w:rsid w:val="00BD2D1F"/>
    <w:rsid w:val="00BD2F1A"/>
    <w:rsid w:val="00BD3307"/>
    <w:rsid w:val="00BD4773"/>
    <w:rsid w:val="00BE4913"/>
    <w:rsid w:val="00BE4CB5"/>
    <w:rsid w:val="00BE69A2"/>
    <w:rsid w:val="00BE74DD"/>
    <w:rsid w:val="00BE7BA8"/>
    <w:rsid w:val="00BF01BE"/>
    <w:rsid w:val="00BF26D5"/>
    <w:rsid w:val="00BF2E50"/>
    <w:rsid w:val="00BF451A"/>
    <w:rsid w:val="00BF629F"/>
    <w:rsid w:val="00BF7F02"/>
    <w:rsid w:val="00C0314E"/>
    <w:rsid w:val="00C06551"/>
    <w:rsid w:val="00C11ECD"/>
    <w:rsid w:val="00C125D4"/>
    <w:rsid w:val="00C12665"/>
    <w:rsid w:val="00C1439A"/>
    <w:rsid w:val="00C16ECC"/>
    <w:rsid w:val="00C17B78"/>
    <w:rsid w:val="00C219C3"/>
    <w:rsid w:val="00C22CEE"/>
    <w:rsid w:val="00C23EB4"/>
    <w:rsid w:val="00C24712"/>
    <w:rsid w:val="00C24FAC"/>
    <w:rsid w:val="00C25B2B"/>
    <w:rsid w:val="00C26197"/>
    <w:rsid w:val="00C308ED"/>
    <w:rsid w:val="00C31EDC"/>
    <w:rsid w:val="00C326B5"/>
    <w:rsid w:val="00C369D8"/>
    <w:rsid w:val="00C36F3D"/>
    <w:rsid w:val="00C40B5B"/>
    <w:rsid w:val="00C44015"/>
    <w:rsid w:val="00C506BE"/>
    <w:rsid w:val="00C50C2F"/>
    <w:rsid w:val="00C52218"/>
    <w:rsid w:val="00C52C3B"/>
    <w:rsid w:val="00C552A9"/>
    <w:rsid w:val="00C60182"/>
    <w:rsid w:val="00C61AA1"/>
    <w:rsid w:val="00C620FE"/>
    <w:rsid w:val="00C62B58"/>
    <w:rsid w:val="00C719EA"/>
    <w:rsid w:val="00C76E90"/>
    <w:rsid w:val="00C804E8"/>
    <w:rsid w:val="00C805BC"/>
    <w:rsid w:val="00C81AD4"/>
    <w:rsid w:val="00C829B7"/>
    <w:rsid w:val="00C84655"/>
    <w:rsid w:val="00C84765"/>
    <w:rsid w:val="00C87911"/>
    <w:rsid w:val="00C90AB5"/>
    <w:rsid w:val="00C91F75"/>
    <w:rsid w:val="00C93A1E"/>
    <w:rsid w:val="00C94CA6"/>
    <w:rsid w:val="00C9593A"/>
    <w:rsid w:val="00C97B9F"/>
    <w:rsid w:val="00CA28B9"/>
    <w:rsid w:val="00CA488F"/>
    <w:rsid w:val="00CA69BF"/>
    <w:rsid w:val="00CA6EB2"/>
    <w:rsid w:val="00CA7ECE"/>
    <w:rsid w:val="00CA7F8F"/>
    <w:rsid w:val="00CB00BA"/>
    <w:rsid w:val="00CB00E5"/>
    <w:rsid w:val="00CB0895"/>
    <w:rsid w:val="00CB20E0"/>
    <w:rsid w:val="00CB381D"/>
    <w:rsid w:val="00CB3A42"/>
    <w:rsid w:val="00CB6528"/>
    <w:rsid w:val="00CC444B"/>
    <w:rsid w:val="00CC47A7"/>
    <w:rsid w:val="00CC64EE"/>
    <w:rsid w:val="00CC7B53"/>
    <w:rsid w:val="00CD6261"/>
    <w:rsid w:val="00CD6AFC"/>
    <w:rsid w:val="00CE0792"/>
    <w:rsid w:val="00CE11F4"/>
    <w:rsid w:val="00CE1360"/>
    <w:rsid w:val="00CE2DAB"/>
    <w:rsid w:val="00CE3C11"/>
    <w:rsid w:val="00CE4E57"/>
    <w:rsid w:val="00CE7BB7"/>
    <w:rsid w:val="00CF33F7"/>
    <w:rsid w:val="00CF45AB"/>
    <w:rsid w:val="00CF7C2D"/>
    <w:rsid w:val="00D005B7"/>
    <w:rsid w:val="00D01103"/>
    <w:rsid w:val="00D025F8"/>
    <w:rsid w:val="00D027E6"/>
    <w:rsid w:val="00D02DE8"/>
    <w:rsid w:val="00D03A88"/>
    <w:rsid w:val="00D0424E"/>
    <w:rsid w:val="00D060F4"/>
    <w:rsid w:val="00D0650D"/>
    <w:rsid w:val="00D100E4"/>
    <w:rsid w:val="00D10509"/>
    <w:rsid w:val="00D108BC"/>
    <w:rsid w:val="00D138BF"/>
    <w:rsid w:val="00D1481F"/>
    <w:rsid w:val="00D207F5"/>
    <w:rsid w:val="00D21BAE"/>
    <w:rsid w:val="00D21E34"/>
    <w:rsid w:val="00D22E60"/>
    <w:rsid w:val="00D30AC5"/>
    <w:rsid w:val="00D31835"/>
    <w:rsid w:val="00D31FB5"/>
    <w:rsid w:val="00D3785C"/>
    <w:rsid w:val="00D4212B"/>
    <w:rsid w:val="00D4252F"/>
    <w:rsid w:val="00D46195"/>
    <w:rsid w:val="00D515D4"/>
    <w:rsid w:val="00D5331E"/>
    <w:rsid w:val="00D53B60"/>
    <w:rsid w:val="00D57D68"/>
    <w:rsid w:val="00D62177"/>
    <w:rsid w:val="00D62F95"/>
    <w:rsid w:val="00D679B9"/>
    <w:rsid w:val="00D703C5"/>
    <w:rsid w:val="00D71E24"/>
    <w:rsid w:val="00D71F07"/>
    <w:rsid w:val="00D72F9F"/>
    <w:rsid w:val="00D7465F"/>
    <w:rsid w:val="00D764F4"/>
    <w:rsid w:val="00D76E73"/>
    <w:rsid w:val="00D8624B"/>
    <w:rsid w:val="00D91195"/>
    <w:rsid w:val="00D91332"/>
    <w:rsid w:val="00D9223E"/>
    <w:rsid w:val="00D92BE7"/>
    <w:rsid w:val="00DA3735"/>
    <w:rsid w:val="00DA72A7"/>
    <w:rsid w:val="00DA7EBC"/>
    <w:rsid w:val="00DB348C"/>
    <w:rsid w:val="00DB3791"/>
    <w:rsid w:val="00DB6661"/>
    <w:rsid w:val="00DB7376"/>
    <w:rsid w:val="00DC11A5"/>
    <w:rsid w:val="00DC168E"/>
    <w:rsid w:val="00DC176E"/>
    <w:rsid w:val="00DC1981"/>
    <w:rsid w:val="00DC1DF0"/>
    <w:rsid w:val="00DC2632"/>
    <w:rsid w:val="00DC2F34"/>
    <w:rsid w:val="00DC3069"/>
    <w:rsid w:val="00DC5166"/>
    <w:rsid w:val="00DC5180"/>
    <w:rsid w:val="00DD277D"/>
    <w:rsid w:val="00DD3D52"/>
    <w:rsid w:val="00DD78DA"/>
    <w:rsid w:val="00DE065F"/>
    <w:rsid w:val="00DE0732"/>
    <w:rsid w:val="00DE1EB7"/>
    <w:rsid w:val="00DE33AC"/>
    <w:rsid w:val="00DE43DA"/>
    <w:rsid w:val="00DE4CCD"/>
    <w:rsid w:val="00DE5D38"/>
    <w:rsid w:val="00E0178B"/>
    <w:rsid w:val="00E0473C"/>
    <w:rsid w:val="00E07653"/>
    <w:rsid w:val="00E108AC"/>
    <w:rsid w:val="00E112B2"/>
    <w:rsid w:val="00E123FC"/>
    <w:rsid w:val="00E164E9"/>
    <w:rsid w:val="00E1663B"/>
    <w:rsid w:val="00E17CF0"/>
    <w:rsid w:val="00E21D5E"/>
    <w:rsid w:val="00E2219E"/>
    <w:rsid w:val="00E224ED"/>
    <w:rsid w:val="00E24734"/>
    <w:rsid w:val="00E2509E"/>
    <w:rsid w:val="00E253D5"/>
    <w:rsid w:val="00E26950"/>
    <w:rsid w:val="00E3036D"/>
    <w:rsid w:val="00E30A59"/>
    <w:rsid w:val="00E30EE3"/>
    <w:rsid w:val="00E3106B"/>
    <w:rsid w:val="00E334BC"/>
    <w:rsid w:val="00E36173"/>
    <w:rsid w:val="00E372BD"/>
    <w:rsid w:val="00E4144F"/>
    <w:rsid w:val="00E41639"/>
    <w:rsid w:val="00E4165C"/>
    <w:rsid w:val="00E42BFC"/>
    <w:rsid w:val="00E43518"/>
    <w:rsid w:val="00E456EC"/>
    <w:rsid w:val="00E4577F"/>
    <w:rsid w:val="00E46F96"/>
    <w:rsid w:val="00E50E6A"/>
    <w:rsid w:val="00E532F5"/>
    <w:rsid w:val="00E60625"/>
    <w:rsid w:val="00E61D76"/>
    <w:rsid w:val="00E61EC3"/>
    <w:rsid w:val="00E6234B"/>
    <w:rsid w:val="00E66324"/>
    <w:rsid w:val="00E67A23"/>
    <w:rsid w:val="00E7261A"/>
    <w:rsid w:val="00E730EC"/>
    <w:rsid w:val="00E7483F"/>
    <w:rsid w:val="00E75BD3"/>
    <w:rsid w:val="00E7667D"/>
    <w:rsid w:val="00E77ED0"/>
    <w:rsid w:val="00E80DF6"/>
    <w:rsid w:val="00E82B4A"/>
    <w:rsid w:val="00E839D1"/>
    <w:rsid w:val="00E83CDA"/>
    <w:rsid w:val="00E851B3"/>
    <w:rsid w:val="00E9097C"/>
    <w:rsid w:val="00E91243"/>
    <w:rsid w:val="00E934ED"/>
    <w:rsid w:val="00E9419D"/>
    <w:rsid w:val="00E94F32"/>
    <w:rsid w:val="00E96308"/>
    <w:rsid w:val="00E96B58"/>
    <w:rsid w:val="00EA288F"/>
    <w:rsid w:val="00EA4DCF"/>
    <w:rsid w:val="00EA4E44"/>
    <w:rsid w:val="00EA51E9"/>
    <w:rsid w:val="00EA598A"/>
    <w:rsid w:val="00EA6D97"/>
    <w:rsid w:val="00EB04D3"/>
    <w:rsid w:val="00EB14CE"/>
    <w:rsid w:val="00EB574D"/>
    <w:rsid w:val="00EB6044"/>
    <w:rsid w:val="00EB60A9"/>
    <w:rsid w:val="00EC0927"/>
    <w:rsid w:val="00EC3FC3"/>
    <w:rsid w:val="00EC4688"/>
    <w:rsid w:val="00ED08A2"/>
    <w:rsid w:val="00ED2171"/>
    <w:rsid w:val="00ED2FAC"/>
    <w:rsid w:val="00ED3B0D"/>
    <w:rsid w:val="00ED59A8"/>
    <w:rsid w:val="00ED62E5"/>
    <w:rsid w:val="00ED73A7"/>
    <w:rsid w:val="00EE1EA6"/>
    <w:rsid w:val="00EE3887"/>
    <w:rsid w:val="00EE5477"/>
    <w:rsid w:val="00EE6A31"/>
    <w:rsid w:val="00EE76E9"/>
    <w:rsid w:val="00EF152B"/>
    <w:rsid w:val="00EF30EC"/>
    <w:rsid w:val="00EF61F0"/>
    <w:rsid w:val="00F00806"/>
    <w:rsid w:val="00F00BFF"/>
    <w:rsid w:val="00F03041"/>
    <w:rsid w:val="00F03C08"/>
    <w:rsid w:val="00F03E18"/>
    <w:rsid w:val="00F046B5"/>
    <w:rsid w:val="00F04B87"/>
    <w:rsid w:val="00F04EA2"/>
    <w:rsid w:val="00F057FC"/>
    <w:rsid w:val="00F07E64"/>
    <w:rsid w:val="00F10425"/>
    <w:rsid w:val="00F10DF6"/>
    <w:rsid w:val="00F14AD3"/>
    <w:rsid w:val="00F15737"/>
    <w:rsid w:val="00F1602C"/>
    <w:rsid w:val="00F175F5"/>
    <w:rsid w:val="00F17878"/>
    <w:rsid w:val="00F22898"/>
    <w:rsid w:val="00F23668"/>
    <w:rsid w:val="00F24F61"/>
    <w:rsid w:val="00F30E19"/>
    <w:rsid w:val="00F32A8F"/>
    <w:rsid w:val="00F361FC"/>
    <w:rsid w:val="00F364F9"/>
    <w:rsid w:val="00F40794"/>
    <w:rsid w:val="00F42992"/>
    <w:rsid w:val="00F42CDF"/>
    <w:rsid w:val="00F444CC"/>
    <w:rsid w:val="00F468DD"/>
    <w:rsid w:val="00F46A23"/>
    <w:rsid w:val="00F47C05"/>
    <w:rsid w:val="00F51D75"/>
    <w:rsid w:val="00F54068"/>
    <w:rsid w:val="00F571F0"/>
    <w:rsid w:val="00F620C5"/>
    <w:rsid w:val="00F634BD"/>
    <w:rsid w:val="00F66E6C"/>
    <w:rsid w:val="00F6740A"/>
    <w:rsid w:val="00F67907"/>
    <w:rsid w:val="00F70C44"/>
    <w:rsid w:val="00F715AD"/>
    <w:rsid w:val="00F725C1"/>
    <w:rsid w:val="00F72CF6"/>
    <w:rsid w:val="00F74107"/>
    <w:rsid w:val="00F74C07"/>
    <w:rsid w:val="00F7701F"/>
    <w:rsid w:val="00F77AAA"/>
    <w:rsid w:val="00F77B61"/>
    <w:rsid w:val="00F80EF1"/>
    <w:rsid w:val="00F83A38"/>
    <w:rsid w:val="00F85A55"/>
    <w:rsid w:val="00F86EC3"/>
    <w:rsid w:val="00F87039"/>
    <w:rsid w:val="00F921D7"/>
    <w:rsid w:val="00F92C66"/>
    <w:rsid w:val="00F92F54"/>
    <w:rsid w:val="00F943DC"/>
    <w:rsid w:val="00F95446"/>
    <w:rsid w:val="00F96B38"/>
    <w:rsid w:val="00F97C32"/>
    <w:rsid w:val="00F97D61"/>
    <w:rsid w:val="00FA1269"/>
    <w:rsid w:val="00FA4741"/>
    <w:rsid w:val="00FA4D6D"/>
    <w:rsid w:val="00FA6402"/>
    <w:rsid w:val="00FB0079"/>
    <w:rsid w:val="00FB0DC1"/>
    <w:rsid w:val="00FB157F"/>
    <w:rsid w:val="00FB7137"/>
    <w:rsid w:val="00FC1D79"/>
    <w:rsid w:val="00FC3431"/>
    <w:rsid w:val="00FC75E4"/>
    <w:rsid w:val="00FD0089"/>
    <w:rsid w:val="00FD1557"/>
    <w:rsid w:val="00FD2E1B"/>
    <w:rsid w:val="00FE2040"/>
    <w:rsid w:val="00FE6C5C"/>
    <w:rsid w:val="00FE71D9"/>
    <w:rsid w:val="00FE7F77"/>
    <w:rsid w:val="00FF1404"/>
    <w:rsid w:val="00FF282B"/>
    <w:rsid w:val="00FF6A0D"/>
    <w:rsid w:val="0160243D"/>
    <w:rsid w:val="01816FE1"/>
    <w:rsid w:val="01863D8F"/>
    <w:rsid w:val="01AC1277"/>
    <w:rsid w:val="027F46EC"/>
    <w:rsid w:val="02AE28BD"/>
    <w:rsid w:val="02BF0F28"/>
    <w:rsid w:val="02E45DE4"/>
    <w:rsid w:val="02E71291"/>
    <w:rsid w:val="02F93F59"/>
    <w:rsid w:val="03303529"/>
    <w:rsid w:val="033E16DB"/>
    <w:rsid w:val="037D4297"/>
    <w:rsid w:val="03B87C59"/>
    <w:rsid w:val="03F4031A"/>
    <w:rsid w:val="04377B67"/>
    <w:rsid w:val="04461BE2"/>
    <w:rsid w:val="04BD430A"/>
    <w:rsid w:val="050F2C36"/>
    <w:rsid w:val="05283BD5"/>
    <w:rsid w:val="054B0888"/>
    <w:rsid w:val="056D0CDB"/>
    <w:rsid w:val="0624077E"/>
    <w:rsid w:val="0663337E"/>
    <w:rsid w:val="066A638E"/>
    <w:rsid w:val="066C3A7F"/>
    <w:rsid w:val="079550E8"/>
    <w:rsid w:val="07AB4D59"/>
    <w:rsid w:val="07D0093E"/>
    <w:rsid w:val="07ED1FE1"/>
    <w:rsid w:val="080E1598"/>
    <w:rsid w:val="08683E7A"/>
    <w:rsid w:val="08AA58C0"/>
    <w:rsid w:val="08BE6116"/>
    <w:rsid w:val="0985325D"/>
    <w:rsid w:val="09950A5F"/>
    <w:rsid w:val="09AE7E2A"/>
    <w:rsid w:val="0A1550C6"/>
    <w:rsid w:val="0BA60220"/>
    <w:rsid w:val="0CA70225"/>
    <w:rsid w:val="0CB12198"/>
    <w:rsid w:val="0CB90719"/>
    <w:rsid w:val="0D2B6F5E"/>
    <w:rsid w:val="0D2D10CA"/>
    <w:rsid w:val="0D341B03"/>
    <w:rsid w:val="0D56611F"/>
    <w:rsid w:val="0DB73C33"/>
    <w:rsid w:val="0EA77DDE"/>
    <w:rsid w:val="0EE67F6F"/>
    <w:rsid w:val="0F760024"/>
    <w:rsid w:val="0F910972"/>
    <w:rsid w:val="0FD0100C"/>
    <w:rsid w:val="0FFA791E"/>
    <w:rsid w:val="102349BD"/>
    <w:rsid w:val="10415F60"/>
    <w:rsid w:val="105E2029"/>
    <w:rsid w:val="10990334"/>
    <w:rsid w:val="10D07292"/>
    <w:rsid w:val="10F975CA"/>
    <w:rsid w:val="11205136"/>
    <w:rsid w:val="113314C5"/>
    <w:rsid w:val="11665F71"/>
    <w:rsid w:val="12996E42"/>
    <w:rsid w:val="12AF59DD"/>
    <w:rsid w:val="12D75A17"/>
    <w:rsid w:val="132B75C6"/>
    <w:rsid w:val="133E1852"/>
    <w:rsid w:val="136879B7"/>
    <w:rsid w:val="13871412"/>
    <w:rsid w:val="13877869"/>
    <w:rsid w:val="13BB1ABB"/>
    <w:rsid w:val="14040DAA"/>
    <w:rsid w:val="14136B22"/>
    <w:rsid w:val="14A035E4"/>
    <w:rsid w:val="15E67069"/>
    <w:rsid w:val="15E71784"/>
    <w:rsid w:val="15F24F48"/>
    <w:rsid w:val="16454062"/>
    <w:rsid w:val="16952078"/>
    <w:rsid w:val="16AB5E24"/>
    <w:rsid w:val="17530F23"/>
    <w:rsid w:val="179227EF"/>
    <w:rsid w:val="17B431F0"/>
    <w:rsid w:val="1846401B"/>
    <w:rsid w:val="187077BE"/>
    <w:rsid w:val="18837106"/>
    <w:rsid w:val="18984276"/>
    <w:rsid w:val="18D66A4D"/>
    <w:rsid w:val="19D77E57"/>
    <w:rsid w:val="19F213A9"/>
    <w:rsid w:val="1A23487A"/>
    <w:rsid w:val="1A363992"/>
    <w:rsid w:val="1A4C0A57"/>
    <w:rsid w:val="1AEC3DAE"/>
    <w:rsid w:val="1B5F13FA"/>
    <w:rsid w:val="1BB20667"/>
    <w:rsid w:val="1BCD2C42"/>
    <w:rsid w:val="1C0C223D"/>
    <w:rsid w:val="1C6B00AA"/>
    <w:rsid w:val="1C8D02B1"/>
    <w:rsid w:val="1CCD2B69"/>
    <w:rsid w:val="1D3B3FB1"/>
    <w:rsid w:val="1D6C2276"/>
    <w:rsid w:val="1DD02050"/>
    <w:rsid w:val="1E0A319A"/>
    <w:rsid w:val="1E1C7F42"/>
    <w:rsid w:val="1F432FC8"/>
    <w:rsid w:val="1F7124DC"/>
    <w:rsid w:val="1FA175ED"/>
    <w:rsid w:val="1FCC440D"/>
    <w:rsid w:val="1FDD3F65"/>
    <w:rsid w:val="200D3308"/>
    <w:rsid w:val="202A4A3F"/>
    <w:rsid w:val="20306A71"/>
    <w:rsid w:val="2056509D"/>
    <w:rsid w:val="206D295A"/>
    <w:rsid w:val="20746198"/>
    <w:rsid w:val="20AE23D5"/>
    <w:rsid w:val="20C211F6"/>
    <w:rsid w:val="21073C22"/>
    <w:rsid w:val="210746F6"/>
    <w:rsid w:val="21843C3B"/>
    <w:rsid w:val="21A43BCD"/>
    <w:rsid w:val="21F74944"/>
    <w:rsid w:val="22781700"/>
    <w:rsid w:val="22F61C79"/>
    <w:rsid w:val="23297126"/>
    <w:rsid w:val="23601170"/>
    <w:rsid w:val="237E147F"/>
    <w:rsid w:val="23C26D80"/>
    <w:rsid w:val="2405310F"/>
    <w:rsid w:val="240B58E3"/>
    <w:rsid w:val="24A00C11"/>
    <w:rsid w:val="24A97BFD"/>
    <w:rsid w:val="24AC68E4"/>
    <w:rsid w:val="24F6100A"/>
    <w:rsid w:val="250F1021"/>
    <w:rsid w:val="252F069C"/>
    <w:rsid w:val="253E09CA"/>
    <w:rsid w:val="254D4ADC"/>
    <w:rsid w:val="255715D3"/>
    <w:rsid w:val="25B84580"/>
    <w:rsid w:val="25C85067"/>
    <w:rsid w:val="261F7E9A"/>
    <w:rsid w:val="2636279F"/>
    <w:rsid w:val="2749324F"/>
    <w:rsid w:val="279E2346"/>
    <w:rsid w:val="27B90624"/>
    <w:rsid w:val="28DB0D7D"/>
    <w:rsid w:val="2918140C"/>
    <w:rsid w:val="29193FB0"/>
    <w:rsid w:val="291A6E72"/>
    <w:rsid w:val="298D3826"/>
    <w:rsid w:val="29B73182"/>
    <w:rsid w:val="29CE5723"/>
    <w:rsid w:val="29E00C04"/>
    <w:rsid w:val="2A1E455E"/>
    <w:rsid w:val="2A3B4721"/>
    <w:rsid w:val="2A7678DC"/>
    <w:rsid w:val="2AA1478D"/>
    <w:rsid w:val="2AE023F0"/>
    <w:rsid w:val="2AFF6188"/>
    <w:rsid w:val="2BF52979"/>
    <w:rsid w:val="2BF53FD2"/>
    <w:rsid w:val="2CA12087"/>
    <w:rsid w:val="2D111DEF"/>
    <w:rsid w:val="2D6839F8"/>
    <w:rsid w:val="2D95116B"/>
    <w:rsid w:val="2D96602B"/>
    <w:rsid w:val="2E595211"/>
    <w:rsid w:val="2E794A67"/>
    <w:rsid w:val="2F3F2C2C"/>
    <w:rsid w:val="2FA23D61"/>
    <w:rsid w:val="2FDE3A9D"/>
    <w:rsid w:val="300F57EA"/>
    <w:rsid w:val="30686B03"/>
    <w:rsid w:val="306F2AF3"/>
    <w:rsid w:val="30847E74"/>
    <w:rsid w:val="30D83F4C"/>
    <w:rsid w:val="30F84FEE"/>
    <w:rsid w:val="315B7806"/>
    <w:rsid w:val="315C7B79"/>
    <w:rsid w:val="31B42CC5"/>
    <w:rsid w:val="31CE5FAB"/>
    <w:rsid w:val="31D73773"/>
    <w:rsid w:val="32062F6F"/>
    <w:rsid w:val="324E6895"/>
    <w:rsid w:val="32715EB5"/>
    <w:rsid w:val="32800917"/>
    <w:rsid w:val="339F684B"/>
    <w:rsid w:val="33C15FC0"/>
    <w:rsid w:val="33EF6D96"/>
    <w:rsid w:val="34384468"/>
    <w:rsid w:val="34700396"/>
    <w:rsid w:val="35035FC1"/>
    <w:rsid w:val="366209C7"/>
    <w:rsid w:val="36774124"/>
    <w:rsid w:val="36840331"/>
    <w:rsid w:val="36AF3D7D"/>
    <w:rsid w:val="36E06634"/>
    <w:rsid w:val="38153C05"/>
    <w:rsid w:val="381D5766"/>
    <w:rsid w:val="386A66CD"/>
    <w:rsid w:val="386D5C19"/>
    <w:rsid w:val="38791F49"/>
    <w:rsid w:val="388135B1"/>
    <w:rsid w:val="389A34BD"/>
    <w:rsid w:val="38FD3952"/>
    <w:rsid w:val="394C23C7"/>
    <w:rsid w:val="39501B9D"/>
    <w:rsid w:val="396B6068"/>
    <w:rsid w:val="397451F2"/>
    <w:rsid w:val="3B0964DE"/>
    <w:rsid w:val="3B203DDD"/>
    <w:rsid w:val="3B3F065D"/>
    <w:rsid w:val="3B731129"/>
    <w:rsid w:val="3BAE55BB"/>
    <w:rsid w:val="3BD37F3F"/>
    <w:rsid w:val="3C3B4C7E"/>
    <w:rsid w:val="3C5B7756"/>
    <w:rsid w:val="3CC73498"/>
    <w:rsid w:val="3CC93EAE"/>
    <w:rsid w:val="3DC05C14"/>
    <w:rsid w:val="3DC9325E"/>
    <w:rsid w:val="3DD51177"/>
    <w:rsid w:val="3E202FF2"/>
    <w:rsid w:val="3E9C2CBB"/>
    <w:rsid w:val="3E9C6738"/>
    <w:rsid w:val="3E9D30E8"/>
    <w:rsid w:val="3EBF314B"/>
    <w:rsid w:val="3ECA17C4"/>
    <w:rsid w:val="3F4762E8"/>
    <w:rsid w:val="400601BA"/>
    <w:rsid w:val="404F6515"/>
    <w:rsid w:val="40F43FE4"/>
    <w:rsid w:val="41183E85"/>
    <w:rsid w:val="415B2754"/>
    <w:rsid w:val="418131C1"/>
    <w:rsid w:val="41B532FC"/>
    <w:rsid w:val="41DF1B66"/>
    <w:rsid w:val="42273DD4"/>
    <w:rsid w:val="4266637C"/>
    <w:rsid w:val="42F26AD3"/>
    <w:rsid w:val="434625E0"/>
    <w:rsid w:val="4369200D"/>
    <w:rsid w:val="436B31C8"/>
    <w:rsid w:val="439869CD"/>
    <w:rsid w:val="448842C5"/>
    <w:rsid w:val="44913D31"/>
    <w:rsid w:val="44924104"/>
    <w:rsid w:val="449653A5"/>
    <w:rsid w:val="44F72F0D"/>
    <w:rsid w:val="45005D04"/>
    <w:rsid w:val="4570650D"/>
    <w:rsid w:val="4596469B"/>
    <w:rsid w:val="45BB57E4"/>
    <w:rsid w:val="45DF13EC"/>
    <w:rsid w:val="45F1345F"/>
    <w:rsid w:val="4693574A"/>
    <w:rsid w:val="47017878"/>
    <w:rsid w:val="475D3250"/>
    <w:rsid w:val="476E1034"/>
    <w:rsid w:val="478720F7"/>
    <w:rsid w:val="47B25BDC"/>
    <w:rsid w:val="484E64AE"/>
    <w:rsid w:val="488C014B"/>
    <w:rsid w:val="48CD6F76"/>
    <w:rsid w:val="48D00095"/>
    <w:rsid w:val="48F44CC5"/>
    <w:rsid w:val="48FD3476"/>
    <w:rsid w:val="490B7058"/>
    <w:rsid w:val="49100820"/>
    <w:rsid w:val="49137882"/>
    <w:rsid w:val="49382E6B"/>
    <w:rsid w:val="49655C5E"/>
    <w:rsid w:val="49A87781"/>
    <w:rsid w:val="49DF1BA7"/>
    <w:rsid w:val="4A3A0886"/>
    <w:rsid w:val="4A3B6A3C"/>
    <w:rsid w:val="4ABC36A1"/>
    <w:rsid w:val="4B6B357F"/>
    <w:rsid w:val="4B9D1F20"/>
    <w:rsid w:val="4C1045CA"/>
    <w:rsid w:val="4C5F3B54"/>
    <w:rsid w:val="4D0C0113"/>
    <w:rsid w:val="4D230909"/>
    <w:rsid w:val="4D333733"/>
    <w:rsid w:val="4D52489F"/>
    <w:rsid w:val="4DBB271B"/>
    <w:rsid w:val="4E2E4927"/>
    <w:rsid w:val="4E9C5BBD"/>
    <w:rsid w:val="4EE74B9A"/>
    <w:rsid w:val="4F073DC5"/>
    <w:rsid w:val="4F57386B"/>
    <w:rsid w:val="4F796999"/>
    <w:rsid w:val="4F9A0C7A"/>
    <w:rsid w:val="4F9C09F0"/>
    <w:rsid w:val="51265F8E"/>
    <w:rsid w:val="51270F5C"/>
    <w:rsid w:val="517A2F93"/>
    <w:rsid w:val="5192285B"/>
    <w:rsid w:val="525642F5"/>
    <w:rsid w:val="52B7423E"/>
    <w:rsid w:val="53045679"/>
    <w:rsid w:val="5347483A"/>
    <w:rsid w:val="53817677"/>
    <w:rsid w:val="53B74BCF"/>
    <w:rsid w:val="543707B9"/>
    <w:rsid w:val="55276C8C"/>
    <w:rsid w:val="55600B99"/>
    <w:rsid w:val="55622AA1"/>
    <w:rsid w:val="55914FC5"/>
    <w:rsid w:val="55E17720"/>
    <w:rsid w:val="56450131"/>
    <w:rsid w:val="567310E6"/>
    <w:rsid w:val="56975FCC"/>
    <w:rsid w:val="56E76AA7"/>
    <w:rsid w:val="57A91042"/>
    <w:rsid w:val="586A3B94"/>
    <w:rsid w:val="58855B1F"/>
    <w:rsid w:val="58AC3D80"/>
    <w:rsid w:val="58BC4C4F"/>
    <w:rsid w:val="58C22C23"/>
    <w:rsid w:val="58D325B9"/>
    <w:rsid w:val="59117ECC"/>
    <w:rsid w:val="59986212"/>
    <w:rsid w:val="599F7BC0"/>
    <w:rsid w:val="59C7095E"/>
    <w:rsid w:val="5A9C0836"/>
    <w:rsid w:val="5A9E141F"/>
    <w:rsid w:val="5B3251AA"/>
    <w:rsid w:val="5B6A25BE"/>
    <w:rsid w:val="5BA83E1C"/>
    <w:rsid w:val="5BAF7E20"/>
    <w:rsid w:val="5BB70662"/>
    <w:rsid w:val="5BF115F8"/>
    <w:rsid w:val="5C3B477A"/>
    <w:rsid w:val="5CA95BA0"/>
    <w:rsid w:val="5CF362F7"/>
    <w:rsid w:val="5D293DBC"/>
    <w:rsid w:val="5D335A6E"/>
    <w:rsid w:val="5D40650D"/>
    <w:rsid w:val="5D42202E"/>
    <w:rsid w:val="5D6B137C"/>
    <w:rsid w:val="5D990D63"/>
    <w:rsid w:val="5DC911D5"/>
    <w:rsid w:val="5DF737D8"/>
    <w:rsid w:val="5DF85ED3"/>
    <w:rsid w:val="5EC269D5"/>
    <w:rsid w:val="5ECA360B"/>
    <w:rsid w:val="5ED71447"/>
    <w:rsid w:val="5EEF1A94"/>
    <w:rsid w:val="5F1963C7"/>
    <w:rsid w:val="5F8E4360"/>
    <w:rsid w:val="5FC80143"/>
    <w:rsid w:val="5FF436BD"/>
    <w:rsid w:val="600E5FA1"/>
    <w:rsid w:val="60642D23"/>
    <w:rsid w:val="61785F15"/>
    <w:rsid w:val="61BC2621"/>
    <w:rsid w:val="61F348C3"/>
    <w:rsid w:val="626D2881"/>
    <w:rsid w:val="627F0A56"/>
    <w:rsid w:val="629A13DD"/>
    <w:rsid w:val="63A37CB5"/>
    <w:rsid w:val="63B428B7"/>
    <w:rsid w:val="63B64360"/>
    <w:rsid w:val="64054BE9"/>
    <w:rsid w:val="644A1504"/>
    <w:rsid w:val="65406A99"/>
    <w:rsid w:val="65E06692"/>
    <w:rsid w:val="661B7CAC"/>
    <w:rsid w:val="66EB7098"/>
    <w:rsid w:val="671A1E93"/>
    <w:rsid w:val="676D16D3"/>
    <w:rsid w:val="67757A9C"/>
    <w:rsid w:val="67D6025A"/>
    <w:rsid w:val="67F35840"/>
    <w:rsid w:val="68006D92"/>
    <w:rsid w:val="680C35E2"/>
    <w:rsid w:val="68181AD0"/>
    <w:rsid w:val="6825736C"/>
    <w:rsid w:val="683B51FA"/>
    <w:rsid w:val="689D19D9"/>
    <w:rsid w:val="68E3771C"/>
    <w:rsid w:val="696433D2"/>
    <w:rsid w:val="69647E07"/>
    <w:rsid w:val="6A4813DA"/>
    <w:rsid w:val="6B1E4776"/>
    <w:rsid w:val="6B5E49AF"/>
    <w:rsid w:val="6C6A6B18"/>
    <w:rsid w:val="6C98085E"/>
    <w:rsid w:val="6CA77764"/>
    <w:rsid w:val="6CAE5701"/>
    <w:rsid w:val="6D3529BF"/>
    <w:rsid w:val="6D864EBC"/>
    <w:rsid w:val="6D945CDA"/>
    <w:rsid w:val="6DC05193"/>
    <w:rsid w:val="6E4232BD"/>
    <w:rsid w:val="6E5721B2"/>
    <w:rsid w:val="6EAF6D56"/>
    <w:rsid w:val="6F157216"/>
    <w:rsid w:val="6F191AC5"/>
    <w:rsid w:val="6F32679B"/>
    <w:rsid w:val="6F53670E"/>
    <w:rsid w:val="6F571E8A"/>
    <w:rsid w:val="6FBC266D"/>
    <w:rsid w:val="6FBC7D37"/>
    <w:rsid w:val="6FD33272"/>
    <w:rsid w:val="70600FFB"/>
    <w:rsid w:val="70AE29C3"/>
    <w:rsid w:val="70DD7D37"/>
    <w:rsid w:val="711E71B8"/>
    <w:rsid w:val="715A079B"/>
    <w:rsid w:val="718B310E"/>
    <w:rsid w:val="71B30835"/>
    <w:rsid w:val="71CA3399"/>
    <w:rsid w:val="7209655C"/>
    <w:rsid w:val="7211444D"/>
    <w:rsid w:val="72155289"/>
    <w:rsid w:val="724555BA"/>
    <w:rsid w:val="728839C4"/>
    <w:rsid w:val="72945F17"/>
    <w:rsid w:val="72A23828"/>
    <w:rsid w:val="72AD53C1"/>
    <w:rsid w:val="72CE68A0"/>
    <w:rsid w:val="731F23A0"/>
    <w:rsid w:val="731F4044"/>
    <w:rsid w:val="734C66E0"/>
    <w:rsid w:val="73537676"/>
    <w:rsid w:val="73587B10"/>
    <w:rsid w:val="735D695A"/>
    <w:rsid w:val="73A93440"/>
    <w:rsid w:val="73E86743"/>
    <w:rsid w:val="747D2059"/>
    <w:rsid w:val="75825215"/>
    <w:rsid w:val="7627050F"/>
    <w:rsid w:val="76874F89"/>
    <w:rsid w:val="76BE5831"/>
    <w:rsid w:val="76BF29A0"/>
    <w:rsid w:val="76E97BB1"/>
    <w:rsid w:val="770A751C"/>
    <w:rsid w:val="780C4AB1"/>
    <w:rsid w:val="780E2C95"/>
    <w:rsid w:val="783B27A8"/>
    <w:rsid w:val="785E5E07"/>
    <w:rsid w:val="786C4270"/>
    <w:rsid w:val="78912D90"/>
    <w:rsid w:val="789771DF"/>
    <w:rsid w:val="78A80F5B"/>
    <w:rsid w:val="78F838BC"/>
    <w:rsid w:val="79EA73F0"/>
    <w:rsid w:val="79EF5A17"/>
    <w:rsid w:val="7A870B69"/>
    <w:rsid w:val="7A8777C7"/>
    <w:rsid w:val="7AA45691"/>
    <w:rsid w:val="7AF17FBD"/>
    <w:rsid w:val="7B32751C"/>
    <w:rsid w:val="7B652D59"/>
    <w:rsid w:val="7B82734E"/>
    <w:rsid w:val="7B851AAC"/>
    <w:rsid w:val="7BB27D4D"/>
    <w:rsid w:val="7BF67CE4"/>
    <w:rsid w:val="7C126A2E"/>
    <w:rsid w:val="7C4335D3"/>
    <w:rsid w:val="7D510E50"/>
    <w:rsid w:val="7D5F4854"/>
    <w:rsid w:val="7D9276AA"/>
    <w:rsid w:val="7DB008CE"/>
    <w:rsid w:val="7DE636CF"/>
    <w:rsid w:val="7E1B5DF2"/>
    <w:rsid w:val="7E505119"/>
    <w:rsid w:val="7E5349A3"/>
    <w:rsid w:val="7E8511F7"/>
    <w:rsid w:val="7F05069F"/>
    <w:rsid w:val="7F4E5A51"/>
    <w:rsid w:val="7F7314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19BBD3CA"/>
  <w15:docId w15:val="{F588A5C0-C20F-4304-B157-F2552813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B93"/>
    <w:pPr>
      <w:widowControl w:val="0"/>
      <w:jc w:val="both"/>
    </w:pPr>
    <w:rPr>
      <w:rFonts w:ascii="等线" w:eastAsia="等线" w:hAnsi="等线"/>
      <w:kern w:val="2"/>
      <w:sz w:val="21"/>
      <w:szCs w:val="22"/>
    </w:rPr>
  </w:style>
  <w:style w:type="paragraph" w:styleId="1">
    <w:name w:val="heading 1"/>
    <w:basedOn w:val="2"/>
    <w:next w:val="a"/>
    <w:link w:val="10"/>
    <w:uiPriority w:val="9"/>
    <w:qFormat/>
    <w:rsid w:val="00425B93"/>
    <w:pPr>
      <w:jc w:val="left"/>
      <w:outlineLvl w:val="0"/>
    </w:pPr>
    <w:rPr>
      <w:rFonts w:ascii="宋体" w:hAnsi="宋体"/>
      <w:bCs w:val="0"/>
      <w:kern w:val="0"/>
      <w:sz w:val="30"/>
      <w:szCs w:val="30"/>
    </w:rPr>
  </w:style>
  <w:style w:type="paragraph" w:styleId="2">
    <w:name w:val="heading 2"/>
    <w:basedOn w:val="3"/>
    <w:next w:val="a"/>
    <w:link w:val="20"/>
    <w:uiPriority w:val="9"/>
    <w:qFormat/>
    <w:rsid w:val="00425B93"/>
    <w:pPr>
      <w:spacing w:before="50" w:after="50"/>
      <w:ind w:firstLineChars="0" w:firstLine="0"/>
      <w:jc w:val="center"/>
      <w:outlineLvl w:val="1"/>
    </w:pPr>
    <w:rPr>
      <w:rFonts w:ascii="等线" w:hAnsi="等线"/>
      <w:bCs/>
      <w:kern w:val="2"/>
      <w:sz w:val="28"/>
      <w:szCs w:val="28"/>
    </w:rPr>
  </w:style>
  <w:style w:type="paragraph" w:styleId="3">
    <w:name w:val="heading 3"/>
    <w:basedOn w:val="a"/>
    <w:next w:val="a"/>
    <w:link w:val="30"/>
    <w:uiPriority w:val="9"/>
    <w:qFormat/>
    <w:rsid w:val="00425B93"/>
    <w:pPr>
      <w:spacing w:beforeLines="50" w:afterLines="50" w:line="440" w:lineRule="exact"/>
      <w:ind w:firstLineChars="200" w:firstLine="482"/>
      <w:outlineLvl w:val="2"/>
    </w:pPr>
    <w:rPr>
      <w:rFonts w:ascii="宋体" w:eastAsia="宋体" w:hAnsi="宋体"/>
      <w:b/>
      <w:kern w:val="0"/>
      <w:sz w:val="24"/>
      <w:szCs w:val="24"/>
    </w:rPr>
  </w:style>
  <w:style w:type="paragraph" w:styleId="4">
    <w:name w:val="heading 4"/>
    <w:basedOn w:val="a"/>
    <w:next w:val="a"/>
    <w:link w:val="40"/>
    <w:uiPriority w:val="9"/>
    <w:qFormat/>
    <w:rsid w:val="00425B93"/>
    <w:pPr>
      <w:keepNext/>
      <w:keepLines/>
      <w:spacing w:before="280" w:after="290" w:line="376" w:lineRule="auto"/>
      <w:outlineLvl w:val="3"/>
    </w:pPr>
    <w:rPr>
      <w:rFonts w:ascii="等线 Light" w:eastAsia="等线 Light" w:hAnsi="等线 Light"/>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rsid w:val="00425B93"/>
    <w:rPr>
      <w:rFonts w:ascii="等线 Light" w:eastAsia="黑体" w:hAnsi="等线 Light"/>
      <w:sz w:val="20"/>
      <w:szCs w:val="20"/>
    </w:rPr>
  </w:style>
  <w:style w:type="paragraph" w:styleId="a5">
    <w:name w:val="Body Text"/>
    <w:basedOn w:val="a"/>
    <w:link w:val="a6"/>
    <w:uiPriority w:val="1"/>
    <w:qFormat/>
    <w:rsid w:val="00425B93"/>
    <w:pPr>
      <w:autoSpaceDE w:val="0"/>
      <w:autoSpaceDN w:val="0"/>
      <w:spacing w:beforeLines="50" w:afterLines="50" w:line="440" w:lineRule="exact"/>
      <w:ind w:firstLineChars="200" w:firstLine="200"/>
      <w:jc w:val="left"/>
    </w:pPr>
    <w:rPr>
      <w:rFonts w:ascii="宋体" w:eastAsia="宋体" w:hAnsi="宋体"/>
      <w:kern w:val="0"/>
      <w:sz w:val="24"/>
      <w:szCs w:val="24"/>
      <w:lang w:eastAsia="en-US"/>
    </w:rPr>
  </w:style>
  <w:style w:type="paragraph" w:styleId="TOC3">
    <w:name w:val="toc 3"/>
    <w:basedOn w:val="a"/>
    <w:next w:val="a"/>
    <w:uiPriority w:val="39"/>
    <w:unhideWhenUsed/>
    <w:qFormat/>
    <w:rsid w:val="00425B93"/>
    <w:pPr>
      <w:spacing w:line="520" w:lineRule="exact"/>
      <w:ind w:leftChars="100" w:left="100"/>
    </w:pPr>
    <w:rPr>
      <w:rFonts w:eastAsia="宋体"/>
      <w:b/>
      <w:sz w:val="24"/>
    </w:rPr>
  </w:style>
  <w:style w:type="paragraph" w:styleId="a7">
    <w:name w:val="Balloon Text"/>
    <w:basedOn w:val="a"/>
    <w:link w:val="a8"/>
    <w:uiPriority w:val="99"/>
    <w:unhideWhenUsed/>
    <w:qFormat/>
    <w:rsid w:val="00425B93"/>
    <w:rPr>
      <w:rFonts w:ascii="Times New Roman" w:eastAsia="宋体" w:hAnsi="Times New Roman"/>
      <w:kern w:val="0"/>
      <w:sz w:val="18"/>
      <w:szCs w:val="18"/>
    </w:rPr>
  </w:style>
  <w:style w:type="paragraph" w:styleId="a9">
    <w:name w:val="footer"/>
    <w:basedOn w:val="a"/>
    <w:link w:val="aa"/>
    <w:uiPriority w:val="99"/>
    <w:unhideWhenUsed/>
    <w:qFormat/>
    <w:rsid w:val="00425B93"/>
    <w:pPr>
      <w:tabs>
        <w:tab w:val="center" w:pos="4153"/>
        <w:tab w:val="right" w:pos="8306"/>
      </w:tabs>
      <w:snapToGrid w:val="0"/>
      <w:jc w:val="left"/>
    </w:pPr>
    <w:rPr>
      <w:rFonts w:ascii="Times New Roman" w:eastAsia="宋体" w:hAnsi="Times New Roman"/>
      <w:kern w:val="0"/>
      <w:sz w:val="18"/>
      <w:szCs w:val="18"/>
    </w:rPr>
  </w:style>
  <w:style w:type="paragraph" w:styleId="ab">
    <w:name w:val="header"/>
    <w:basedOn w:val="a"/>
    <w:link w:val="ac"/>
    <w:uiPriority w:val="99"/>
    <w:unhideWhenUsed/>
    <w:qFormat/>
    <w:rsid w:val="00425B93"/>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TOC1">
    <w:name w:val="toc 1"/>
    <w:basedOn w:val="a"/>
    <w:next w:val="a"/>
    <w:uiPriority w:val="39"/>
    <w:unhideWhenUsed/>
    <w:qFormat/>
    <w:rsid w:val="00425B93"/>
    <w:pPr>
      <w:spacing w:line="520" w:lineRule="exact"/>
    </w:pPr>
    <w:rPr>
      <w:rFonts w:eastAsia="宋体"/>
      <w:b/>
      <w:sz w:val="30"/>
    </w:rPr>
  </w:style>
  <w:style w:type="paragraph" w:styleId="ad">
    <w:name w:val="footnote text"/>
    <w:basedOn w:val="a"/>
    <w:link w:val="ae"/>
    <w:uiPriority w:val="99"/>
    <w:unhideWhenUsed/>
    <w:qFormat/>
    <w:rsid w:val="00425B93"/>
    <w:pPr>
      <w:snapToGrid w:val="0"/>
      <w:jc w:val="left"/>
    </w:pPr>
    <w:rPr>
      <w:rFonts w:ascii="Times New Roman" w:eastAsia="宋体" w:hAnsi="Times New Roman"/>
      <w:kern w:val="0"/>
      <w:sz w:val="18"/>
      <w:szCs w:val="18"/>
    </w:rPr>
  </w:style>
  <w:style w:type="paragraph" w:styleId="af">
    <w:name w:val="table of figures"/>
    <w:basedOn w:val="a"/>
    <w:next w:val="a"/>
    <w:link w:val="af0"/>
    <w:uiPriority w:val="99"/>
    <w:unhideWhenUsed/>
    <w:qFormat/>
    <w:rsid w:val="00425B93"/>
    <w:pPr>
      <w:spacing w:line="480" w:lineRule="exact"/>
      <w:ind w:left="200" w:hangingChars="200" w:hanging="200"/>
    </w:pPr>
    <w:rPr>
      <w:rFonts w:ascii="Times New Roman" w:eastAsia="黑体" w:hAnsi="Times New Roman"/>
      <w:sz w:val="24"/>
    </w:rPr>
  </w:style>
  <w:style w:type="paragraph" w:styleId="TOC2">
    <w:name w:val="toc 2"/>
    <w:basedOn w:val="a"/>
    <w:next w:val="a"/>
    <w:link w:val="TOC20"/>
    <w:uiPriority w:val="39"/>
    <w:unhideWhenUsed/>
    <w:qFormat/>
    <w:rsid w:val="00425B93"/>
    <w:pPr>
      <w:spacing w:line="520" w:lineRule="exact"/>
      <w:ind w:leftChars="100" w:left="100"/>
    </w:pPr>
    <w:rPr>
      <w:rFonts w:ascii="Times New Roman" w:eastAsia="宋体" w:hAnsi="Times New Roman"/>
      <w:b/>
      <w:sz w:val="28"/>
    </w:rPr>
  </w:style>
  <w:style w:type="paragraph" w:styleId="af1">
    <w:name w:val="Normal (Web)"/>
    <w:basedOn w:val="a"/>
    <w:uiPriority w:val="99"/>
    <w:unhideWhenUsed/>
    <w:qFormat/>
    <w:rsid w:val="00425B93"/>
    <w:pPr>
      <w:spacing w:before="100" w:beforeAutospacing="1" w:after="100" w:afterAutospacing="1"/>
      <w:jc w:val="left"/>
    </w:pPr>
    <w:rPr>
      <w:kern w:val="0"/>
      <w:sz w:val="24"/>
    </w:rPr>
  </w:style>
  <w:style w:type="table" w:styleId="af2">
    <w:name w:val="Table Grid"/>
    <w:basedOn w:val="a1"/>
    <w:uiPriority w:val="39"/>
    <w:qFormat/>
    <w:rsid w:val="00425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qFormat/>
    <w:rsid w:val="00425B93"/>
    <w:rPr>
      <w:color w:val="0563C1"/>
      <w:u w:val="single"/>
    </w:rPr>
  </w:style>
  <w:style w:type="character" w:styleId="af4">
    <w:name w:val="footnote reference"/>
    <w:uiPriority w:val="99"/>
    <w:unhideWhenUsed/>
    <w:qFormat/>
    <w:rsid w:val="00425B93"/>
    <w:rPr>
      <w:vertAlign w:val="superscript"/>
    </w:rPr>
  </w:style>
  <w:style w:type="character" w:customStyle="1" w:styleId="TOC20">
    <w:name w:val="TOC 2 字符"/>
    <w:link w:val="TOC2"/>
    <w:uiPriority w:val="39"/>
    <w:qFormat/>
    <w:rsid w:val="00425B93"/>
    <w:rPr>
      <w:rFonts w:eastAsia="宋体"/>
      <w:b/>
      <w:kern w:val="2"/>
      <w:sz w:val="28"/>
      <w:szCs w:val="22"/>
    </w:rPr>
  </w:style>
  <w:style w:type="character" w:customStyle="1" w:styleId="30">
    <w:name w:val="标题 3 字符"/>
    <w:link w:val="3"/>
    <w:uiPriority w:val="9"/>
    <w:qFormat/>
    <w:rsid w:val="00425B93"/>
    <w:rPr>
      <w:rFonts w:ascii="宋体" w:eastAsia="宋体" w:hAnsi="宋体" w:cs="宋体"/>
      <w:b/>
      <w:sz w:val="24"/>
      <w:szCs w:val="24"/>
    </w:rPr>
  </w:style>
  <w:style w:type="character" w:customStyle="1" w:styleId="a8">
    <w:name w:val="批注框文本 字符"/>
    <w:link w:val="a7"/>
    <w:uiPriority w:val="99"/>
    <w:semiHidden/>
    <w:qFormat/>
    <w:rsid w:val="00425B93"/>
    <w:rPr>
      <w:sz w:val="18"/>
      <w:szCs w:val="18"/>
    </w:rPr>
  </w:style>
  <w:style w:type="character" w:customStyle="1" w:styleId="20">
    <w:name w:val="标题 2 字符"/>
    <w:link w:val="2"/>
    <w:uiPriority w:val="9"/>
    <w:qFormat/>
    <w:rsid w:val="00425B93"/>
    <w:rPr>
      <w:rFonts w:ascii="等线" w:eastAsia="宋体" w:hAnsi="等线"/>
      <w:b/>
      <w:bCs/>
      <w:kern w:val="2"/>
      <w:sz w:val="28"/>
      <w:szCs w:val="28"/>
    </w:rPr>
  </w:style>
  <w:style w:type="character" w:customStyle="1" w:styleId="ae">
    <w:name w:val="脚注文本 字符"/>
    <w:link w:val="ad"/>
    <w:uiPriority w:val="99"/>
    <w:semiHidden/>
    <w:qFormat/>
    <w:rsid w:val="00425B93"/>
    <w:rPr>
      <w:sz w:val="18"/>
      <w:szCs w:val="18"/>
    </w:rPr>
  </w:style>
  <w:style w:type="character" w:customStyle="1" w:styleId="21">
    <w:name w:val="2.报告副标题 字符"/>
    <w:link w:val="22"/>
    <w:qFormat/>
    <w:rsid w:val="00425B93"/>
    <w:rPr>
      <w:rFonts w:ascii="Cambria" w:eastAsia="仿宋" w:hAnsi="Cambria" w:cs="Calibri"/>
      <w:b/>
      <w:color w:val="3F6999"/>
      <w:sz w:val="36"/>
      <w:szCs w:val="56"/>
    </w:rPr>
  </w:style>
  <w:style w:type="paragraph" w:customStyle="1" w:styleId="22">
    <w:name w:val="2.报告副标题"/>
    <w:basedOn w:val="a"/>
    <w:link w:val="21"/>
    <w:qFormat/>
    <w:rsid w:val="00425B93"/>
    <w:pPr>
      <w:framePr w:hSpace="180" w:wrap="around" w:vAnchor="text" w:hAnchor="margin" w:x="-176" w:y="20"/>
      <w:widowControl/>
      <w:ind w:firstLine="723"/>
      <w:jc w:val="right"/>
    </w:pPr>
    <w:rPr>
      <w:rFonts w:ascii="Cambria" w:eastAsia="仿宋" w:hAnsi="Cambria"/>
      <w:b/>
      <w:color w:val="3F6999"/>
      <w:kern w:val="0"/>
      <w:sz w:val="36"/>
      <w:szCs w:val="56"/>
    </w:rPr>
  </w:style>
  <w:style w:type="character" w:customStyle="1" w:styleId="ac">
    <w:name w:val="页眉 字符"/>
    <w:link w:val="ab"/>
    <w:uiPriority w:val="99"/>
    <w:qFormat/>
    <w:rsid w:val="00425B93"/>
    <w:rPr>
      <w:sz w:val="18"/>
      <w:szCs w:val="18"/>
    </w:rPr>
  </w:style>
  <w:style w:type="character" w:customStyle="1" w:styleId="a6">
    <w:name w:val="正文文本 字符"/>
    <w:link w:val="a5"/>
    <w:uiPriority w:val="1"/>
    <w:qFormat/>
    <w:rsid w:val="00425B93"/>
    <w:rPr>
      <w:rFonts w:ascii="宋体" w:eastAsia="宋体" w:hAnsi="宋体" w:cs="宋体"/>
      <w:kern w:val="0"/>
      <w:sz w:val="24"/>
      <w:szCs w:val="24"/>
      <w:lang w:eastAsia="en-US"/>
    </w:rPr>
  </w:style>
  <w:style w:type="character" w:customStyle="1" w:styleId="Char">
    <w:name w:val="图表目录新 Char"/>
    <w:basedOn w:val="af0"/>
    <w:link w:val="af5"/>
    <w:qFormat/>
    <w:rsid w:val="00425B93"/>
    <w:rPr>
      <w:rFonts w:eastAsia="黑体"/>
      <w:kern w:val="2"/>
      <w:sz w:val="24"/>
      <w:szCs w:val="22"/>
    </w:rPr>
  </w:style>
  <w:style w:type="character" w:customStyle="1" w:styleId="af0">
    <w:name w:val="图表目录 字符"/>
    <w:link w:val="af"/>
    <w:uiPriority w:val="99"/>
    <w:qFormat/>
    <w:rsid w:val="00425B93"/>
    <w:rPr>
      <w:rFonts w:eastAsia="黑体"/>
      <w:kern w:val="2"/>
      <w:sz w:val="24"/>
      <w:szCs w:val="22"/>
    </w:rPr>
  </w:style>
  <w:style w:type="paragraph" w:customStyle="1" w:styleId="af5">
    <w:name w:val="图表目录新"/>
    <w:basedOn w:val="af"/>
    <w:link w:val="Char"/>
    <w:qFormat/>
    <w:rsid w:val="00425B93"/>
    <w:pPr>
      <w:tabs>
        <w:tab w:val="right" w:leader="dot" w:pos="10194"/>
      </w:tabs>
      <w:spacing w:line="360" w:lineRule="auto"/>
      <w:ind w:left="840" w:hanging="420"/>
    </w:pPr>
  </w:style>
  <w:style w:type="character" w:customStyle="1" w:styleId="8">
    <w:name w:val="8.来源 字符"/>
    <w:link w:val="80"/>
    <w:qFormat/>
    <w:rsid w:val="00425B93"/>
    <w:rPr>
      <w:rFonts w:ascii="Cambria" w:eastAsia="仿宋" w:hAnsi="Cambria" w:cs="Calibri"/>
      <w:i/>
      <w:color w:val="404040"/>
      <w:sz w:val="18"/>
      <w:szCs w:val="16"/>
    </w:rPr>
  </w:style>
  <w:style w:type="paragraph" w:customStyle="1" w:styleId="80">
    <w:name w:val="8.来源"/>
    <w:basedOn w:val="a"/>
    <w:link w:val="8"/>
    <w:qFormat/>
    <w:rsid w:val="00425B93"/>
    <w:pPr>
      <w:autoSpaceDE w:val="0"/>
      <w:autoSpaceDN w:val="0"/>
      <w:adjustRightInd w:val="0"/>
    </w:pPr>
    <w:rPr>
      <w:rFonts w:ascii="Cambria" w:eastAsia="仿宋" w:hAnsi="Cambria"/>
      <w:i/>
      <w:color w:val="404040"/>
      <w:kern w:val="0"/>
      <w:sz w:val="18"/>
      <w:szCs w:val="16"/>
    </w:rPr>
  </w:style>
  <w:style w:type="character" w:customStyle="1" w:styleId="40">
    <w:name w:val="标题 4 字符"/>
    <w:link w:val="4"/>
    <w:uiPriority w:val="9"/>
    <w:qFormat/>
    <w:rsid w:val="00425B93"/>
    <w:rPr>
      <w:rFonts w:ascii="等线 Light" w:eastAsia="等线 Light" w:hAnsi="等线 Light" w:cs="Times New Roman"/>
      <w:b/>
      <w:bCs/>
      <w:sz w:val="28"/>
      <w:szCs w:val="28"/>
    </w:rPr>
  </w:style>
  <w:style w:type="character" w:customStyle="1" w:styleId="10">
    <w:name w:val="标题 1 字符"/>
    <w:link w:val="1"/>
    <w:uiPriority w:val="9"/>
    <w:qFormat/>
    <w:rsid w:val="00425B93"/>
    <w:rPr>
      <w:rFonts w:ascii="宋体" w:eastAsia="宋体" w:hAnsi="宋体" w:cs="宋体"/>
      <w:b/>
      <w:sz w:val="30"/>
      <w:szCs w:val="30"/>
    </w:rPr>
  </w:style>
  <w:style w:type="character" w:customStyle="1" w:styleId="af6">
    <w:name w:val="目录 字符"/>
    <w:link w:val="af7"/>
    <w:qFormat/>
    <w:rsid w:val="00425B93"/>
    <w:rPr>
      <w:rFonts w:ascii="仿宋" w:eastAsia="仿宋" w:hAnsi="仿宋"/>
      <w:b/>
      <w:kern w:val="2"/>
      <w:sz w:val="24"/>
      <w:szCs w:val="28"/>
    </w:rPr>
  </w:style>
  <w:style w:type="paragraph" w:customStyle="1" w:styleId="af7">
    <w:name w:val="目录"/>
    <w:basedOn w:val="TOC2"/>
    <w:link w:val="af6"/>
    <w:qFormat/>
    <w:rsid w:val="00425B93"/>
    <w:pPr>
      <w:tabs>
        <w:tab w:val="right" w:leader="dot" w:pos="10194"/>
      </w:tabs>
      <w:spacing w:line="360" w:lineRule="auto"/>
    </w:pPr>
    <w:rPr>
      <w:rFonts w:ascii="仿宋" w:eastAsia="仿宋" w:hAnsi="仿宋"/>
      <w:sz w:val="24"/>
      <w:szCs w:val="28"/>
    </w:rPr>
  </w:style>
  <w:style w:type="character" w:customStyle="1" w:styleId="aa">
    <w:name w:val="页脚 字符"/>
    <w:link w:val="a9"/>
    <w:uiPriority w:val="99"/>
    <w:qFormat/>
    <w:rsid w:val="00425B93"/>
    <w:rPr>
      <w:sz w:val="18"/>
      <w:szCs w:val="18"/>
    </w:rPr>
  </w:style>
  <w:style w:type="character" w:customStyle="1" w:styleId="6">
    <w:name w:val="6.正文 字符"/>
    <w:link w:val="60"/>
    <w:qFormat/>
    <w:rsid w:val="00425B93"/>
    <w:rPr>
      <w:rFonts w:ascii="楷体" w:eastAsia="楷体" w:hAnsi="楷体" w:cs="Calibri"/>
      <w:sz w:val="24"/>
    </w:rPr>
  </w:style>
  <w:style w:type="paragraph" w:customStyle="1" w:styleId="60">
    <w:name w:val="6.正文"/>
    <w:basedOn w:val="a"/>
    <w:link w:val="6"/>
    <w:qFormat/>
    <w:rsid w:val="00425B93"/>
    <w:pPr>
      <w:widowControl/>
      <w:autoSpaceDE w:val="0"/>
      <w:autoSpaceDN w:val="0"/>
      <w:snapToGrid w:val="0"/>
      <w:spacing w:beforeLines="50" w:afterLines="50"/>
      <w:ind w:firstLineChars="200" w:firstLine="200"/>
    </w:pPr>
    <w:rPr>
      <w:rFonts w:ascii="楷体" w:eastAsia="楷体" w:hAnsi="楷体"/>
      <w:kern w:val="0"/>
      <w:sz w:val="24"/>
      <w:szCs w:val="20"/>
    </w:rPr>
  </w:style>
  <w:style w:type="character" w:customStyle="1" w:styleId="Char0">
    <w:name w:val="图表标题 Char"/>
    <w:basedOn w:val="a4"/>
    <w:link w:val="af8"/>
    <w:qFormat/>
    <w:rsid w:val="00425B93"/>
    <w:rPr>
      <w:rFonts w:ascii="等线 Light" w:eastAsia="黑体" w:hAnsi="等线 Light" w:cs="Times New Roman"/>
      <w:kern w:val="2"/>
    </w:rPr>
  </w:style>
  <w:style w:type="character" w:customStyle="1" w:styleId="a4">
    <w:name w:val="题注 字符"/>
    <w:link w:val="a3"/>
    <w:uiPriority w:val="35"/>
    <w:qFormat/>
    <w:rsid w:val="00425B93"/>
    <w:rPr>
      <w:rFonts w:ascii="等线 Light" w:eastAsia="黑体" w:hAnsi="等线 Light" w:cs="Times New Roman"/>
      <w:kern w:val="2"/>
    </w:rPr>
  </w:style>
  <w:style w:type="paragraph" w:customStyle="1" w:styleId="af8">
    <w:name w:val="图表标题"/>
    <w:basedOn w:val="a3"/>
    <w:link w:val="Char0"/>
    <w:qFormat/>
    <w:rsid w:val="00425B93"/>
    <w:pPr>
      <w:jc w:val="center"/>
    </w:pPr>
    <w:rPr>
      <w:rFonts w:ascii="黑体" w:hAnsi="黑体"/>
      <w:sz w:val="24"/>
      <w:szCs w:val="24"/>
    </w:rPr>
  </w:style>
  <w:style w:type="character" w:customStyle="1" w:styleId="7">
    <w:name w:val="7.图表标题 字符"/>
    <w:link w:val="70"/>
    <w:qFormat/>
    <w:rsid w:val="00425B93"/>
    <w:rPr>
      <w:rFonts w:ascii="Cambria" w:eastAsia="仿宋" w:hAnsi="Cambria" w:cs="Calibri"/>
      <w:b/>
      <w:sz w:val="24"/>
    </w:rPr>
  </w:style>
  <w:style w:type="paragraph" w:customStyle="1" w:styleId="70">
    <w:name w:val="7.图表标题"/>
    <w:basedOn w:val="a3"/>
    <w:link w:val="7"/>
    <w:qFormat/>
    <w:rsid w:val="00425B93"/>
    <w:pPr>
      <w:spacing w:before="120" w:after="120" w:line="180" w:lineRule="auto"/>
    </w:pPr>
    <w:rPr>
      <w:rFonts w:ascii="Cambria" w:eastAsia="仿宋" w:hAnsi="Cambria"/>
      <w:b/>
      <w:kern w:val="0"/>
      <w:sz w:val="24"/>
    </w:rPr>
  </w:style>
  <w:style w:type="paragraph" w:customStyle="1" w:styleId="TableParagraph">
    <w:name w:val="Table Paragraph"/>
    <w:basedOn w:val="a"/>
    <w:uiPriority w:val="1"/>
    <w:qFormat/>
    <w:rsid w:val="00425B93"/>
    <w:pPr>
      <w:autoSpaceDE w:val="0"/>
      <w:autoSpaceDN w:val="0"/>
      <w:ind w:left="107"/>
      <w:jc w:val="left"/>
    </w:pPr>
    <w:rPr>
      <w:rFonts w:ascii="宋体" w:eastAsia="宋体" w:hAnsi="宋体" w:cs="宋体"/>
      <w:kern w:val="0"/>
      <w:sz w:val="22"/>
      <w:lang w:eastAsia="en-US"/>
    </w:rPr>
  </w:style>
  <w:style w:type="paragraph" w:customStyle="1" w:styleId="TOC21">
    <w:name w:val="TOC 标题2"/>
    <w:basedOn w:val="1"/>
    <w:next w:val="a"/>
    <w:uiPriority w:val="39"/>
    <w:unhideWhenUsed/>
    <w:qFormat/>
    <w:rsid w:val="00425B93"/>
    <w:pPr>
      <w:widowControl/>
      <w:spacing w:before="480" w:line="276" w:lineRule="auto"/>
      <w:outlineLvl w:val="9"/>
    </w:pPr>
    <w:rPr>
      <w:rFonts w:ascii="等线 Light" w:eastAsia="等线 Light" w:hAnsi="等线 Light"/>
      <w:color w:val="2F5496"/>
      <w:sz w:val="28"/>
      <w:szCs w:val="28"/>
    </w:rPr>
  </w:style>
  <w:style w:type="paragraph" w:customStyle="1" w:styleId="TOC10">
    <w:name w:val="TOC 标题1"/>
    <w:basedOn w:val="1"/>
    <w:next w:val="a"/>
    <w:uiPriority w:val="39"/>
    <w:unhideWhenUsed/>
    <w:qFormat/>
    <w:rsid w:val="00425B93"/>
    <w:pPr>
      <w:widowControl/>
      <w:spacing w:before="240" w:line="259" w:lineRule="auto"/>
      <w:outlineLvl w:val="9"/>
    </w:pPr>
    <w:rPr>
      <w:rFonts w:ascii="等线 Light" w:eastAsia="等线 Light" w:hAnsi="等线 Light"/>
      <w:b w:val="0"/>
      <w:color w:val="2F5496"/>
      <w:sz w:val="32"/>
      <w:szCs w:val="32"/>
    </w:rPr>
  </w:style>
  <w:style w:type="table" w:customStyle="1" w:styleId="TableNormal">
    <w:name w:val="Table Normal"/>
    <w:uiPriority w:val="2"/>
    <w:unhideWhenUsed/>
    <w:qFormat/>
    <w:rsid w:val="00425B93"/>
    <w:pPr>
      <w:widowControl w:val="0"/>
      <w:autoSpaceDE w:val="0"/>
      <w:autoSpaceDN w:val="0"/>
    </w:pPr>
    <w:rPr>
      <w:sz w:val="22"/>
      <w:lang w:eastAsia="en-US"/>
    </w:rPr>
    <w:tblPr>
      <w:tblCellMar>
        <w:top w:w="0" w:type="dxa"/>
        <w:left w:w="0" w:type="dxa"/>
        <w:bottom w:w="0" w:type="dxa"/>
        <w:right w:w="0" w:type="dxa"/>
      </w:tblCellMar>
    </w:tblPr>
  </w:style>
  <w:style w:type="table" w:customStyle="1" w:styleId="41">
    <w:name w:val="无格式表格 41"/>
    <w:basedOn w:val="a1"/>
    <w:uiPriority w:val="44"/>
    <w:qFormat/>
    <w:rsid w:val="00425B93"/>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table" w:customStyle="1" w:styleId="210">
    <w:name w:val="无格式表格 21"/>
    <w:basedOn w:val="a1"/>
    <w:uiPriority w:val="42"/>
    <w:qFormat/>
    <w:rsid w:val="00425B93"/>
    <w:tblPr>
      <w:tblBorders>
        <w:top w:val="single" w:sz="4" w:space="0" w:color="7E7E7E"/>
        <w:bottom w:val="single" w:sz="4" w:space="0" w:color="7E7E7E"/>
      </w:tblBorders>
    </w:tblPr>
    <w:tblStylePr w:type="firstRow">
      <w:rPr>
        <w:b/>
        <w:bCs/>
      </w:rPr>
      <w:tblPr/>
      <w:tcPr>
        <w:tcBorders>
          <w:top w:val="nil"/>
          <w:left w:val="single" w:sz="4" w:space="0" w:color="7E7E7E"/>
          <w:bottom w:val="nil"/>
          <w:right w:val="nil"/>
          <w:insideH w:val="nil"/>
          <w:insideV w:val="nil"/>
          <w:tl2br w:val="nil"/>
          <w:tr2bl w:val="nil"/>
        </w:tcBorders>
      </w:tcPr>
    </w:tblStylePr>
    <w:tblStylePr w:type="lastRow">
      <w:rPr>
        <w:b/>
        <w:bCs/>
      </w:rPr>
      <w:tblPr/>
      <w:tcPr>
        <w:tcBorders>
          <w:top w:val="single" w:sz="4" w:space="0" w:color="7E7E7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E7E7E"/>
          <w:right w:val="single" w:sz="4" w:space="0" w:color="7E7E7E"/>
          <w:insideH w:val="nil"/>
          <w:insideV w:val="nil"/>
          <w:tl2br w:val="nil"/>
          <w:tr2bl w:val="nil"/>
        </w:tcBorders>
      </w:tcPr>
    </w:tblStylePr>
    <w:tblStylePr w:type="band2Vert">
      <w:tblPr/>
      <w:tcPr>
        <w:tcBorders>
          <w:top w:val="nil"/>
          <w:left w:val="nil"/>
          <w:bottom w:val="single" w:sz="4" w:space="0" w:color="7E7E7E"/>
          <w:right w:val="single" w:sz="4" w:space="0" w:color="7E7E7E"/>
          <w:insideH w:val="nil"/>
          <w:insideV w:val="nil"/>
          <w:tl2br w:val="nil"/>
          <w:tr2bl w:val="nil"/>
        </w:tcBorders>
      </w:tcPr>
    </w:tblStylePr>
    <w:tblStylePr w:type="band1Horz">
      <w:tblPr/>
      <w:tcPr>
        <w:tcBorders>
          <w:top w:val="single" w:sz="4" w:space="0" w:color="7E7E7E"/>
          <w:left w:val="single" w:sz="4" w:space="0" w:color="7E7E7E"/>
          <w:bottom w:val="nil"/>
          <w:right w:val="nil"/>
          <w:insideH w:val="nil"/>
          <w:insideV w:val="nil"/>
          <w:tl2br w:val="nil"/>
          <w:tr2bl w:val="nil"/>
        </w:tcBorders>
      </w:tcPr>
    </w:tblStylePr>
  </w:style>
  <w:style w:type="table" w:customStyle="1" w:styleId="51">
    <w:name w:val="无格式表格 51"/>
    <w:basedOn w:val="a1"/>
    <w:uiPriority w:val="45"/>
    <w:qFormat/>
    <w:rsid w:val="00425B93"/>
    <w:tblPr/>
    <w:tblStylePr w:type="firstRow">
      <w:rPr>
        <w:rFonts w:ascii="Helv" w:eastAsia="Helv" w:hAnsi="Helv" w:cs="Times New Roman"/>
        <w:i/>
        <w:iCs/>
        <w:sz w:val="26"/>
      </w:rPr>
      <w:tblPr/>
      <w:tcPr>
        <w:tcBorders>
          <w:top w:val="nil"/>
          <w:left w:val="single" w:sz="4" w:space="0" w:color="7E7E7E"/>
          <w:bottom w:val="nil"/>
          <w:right w:val="nil"/>
          <w:insideH w:val="nil"/>
          <w:insideV w:val="nil"/>
          <w:tl2br w:val="nil"/>
          <w:tr2bl w:val="nil"/>
        </w:tcBorders>
        <w:shd w:val="clear" w:color="auto" w:fill="FFFFFF"/>
      </w:tcPr>
    </w:tblStylePr>
    <w:tblStylePr w:type="lastRow">
      <w:rPr>
        <w:rFonts w:ascii="Helv" w:eastAsia="Helv" w:hAnsi="Helv" w:cs="Times New Roman"/>
        <w:i/>
        <w:iCs/>
        <w:sz w:val="26"/>
      </w:rPr>
      <w:tblPr/>
      <w:tcPr>
        <w:tcBorders>
          <w:top w:val="single" w:sz="4" w:space="0" w:color="7E7E7E"/>
          <w:left w:val="nil"/>
          <w:bottom w:val="nil"/>
          <w:right w:val="nil"/>
          <w:insideH w:val="nil"/>
          <w:insideV w:val="nil"/>
          <w:tl2br w:val="nil"/>
          <w:tr2bl w:val="nil"/>
        </w:tcBorders>
        <w:shd w:val="clear" w:color="auto" w:fill="FFFFFF"/>
      </w:tcPr>
    </w:tblStylePr>
    <w:tblStylePr w:type="firstCol">
      <w:pPr>
        <w:jc w:val="right"/>
      </w:pPr>
      <w:rPr>
        <w:rFonts w:ascii="Helv" w:eastAsia="Helv" w:hAnsi="Helv" w:cs="Times New Roman"/>
        <w:i/>
        <w:iCs/>
        <w:sz w:val="26"/>
      </w:rPr>
      <w:tblPr/>
      <w:tcPr>
        <w:tcBorders>
          <w:top w:val="nil"/>
          <w:left w:val="nil"/>
          <w:bottom w:val="nil"/>
          <w:right w:val="single" w:sz="4" w:space="0" w:color="7E7E7E"/>
          <w:insideH w:val="nil"/>
          <w:insideV w:val="nil"/>
          <w:tl2br w:val="nil"/>
          <w:tr2bl w:val="nil"/>
        </w:tcBorders>
        <w:shd w:val="clear" w:color="auto" w:fill="FFFFFF"/>
      </w:tcPr>
    </w:tblStylePr>
    <w:tblStylePr w:type="lastCol">
      <w:rPr>
        <w:rFonts w:ascii="Helv" w:eastAsia="Helv" w:hAnsi="Helv" w:cs="Times New Roman"/>
        <w:i/>
        <w:iCs/>
        <w:sz w:val="26"/>
      </w:rPr>
      <w:tblPr/>
      <w:tcPr>
        <w:tcBorders>
          <w:top w:val="nil"/>
          <w:left w:val="nil"/>
          <w:bottom w:val="single" w:sz="4" w:space="0" w:color="7E7E7E"/>
          <w:right w:val="nil"/>
          <w:insideH w:val="nil"/>
          <w:insideV w:val="nil"/>
          <w:tl2br w:val="nil"/>
          <w:tr2bl w:val="nil"/>
        </w:tcBorders>
        <w:shd w:val="clear" w:color="auto" w:fill="FFFFFF"/>
      </w:tcPr>
    </w:tblStylePr>
    <w:tblStylePr w:type="band1Vert">
      <w:tblPr/>
      <w:tcPr>
        <w:shd w:val="clear" w:color="auto" w:fill="F1F1F1"/>
      </w:tcPr>
    </w:tblStylePr>
    <w:tblStylePr w:type="band1Horz">
      <w:tblPr/>
      <w:tcPr>
        <w:shd w:val="clear" w:color="auto" w:fill="F1F1F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character" w:customStyle="1" w:styleId="fontstyle01">
    <w:name w:val="fontstyle01"/>
    <w:basedOn w:val="a0"/>
    <w:qFormat/>
    <w:rsid w:val="00425B93"/>
    <w:rPr>
      <w:rFonts w:ascii="宋体" w:eastAsia="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20130">
      <w:bodyDiv w:val="1"/>
      <w:marLeft w:val="0"/>
      <w:marRight w:val="0"/>
      <w:marTop w:val="0"/>
      <w:marBottom w:val="0"/>
      <w:divBdr>
        <w:top w:val="none" w:sz="0" w:space="0" w:color="auto"/>
        <w:left w:val="none" w:sz="0" w:space="0" w:color="auto"/>
        <w:bottom w:val="none" w:sz="0" w:space="0" w:color="auto"/>
        <w:right w:val="none" w:sz="0" w:space="0" w:color="auto"/>
      </w:divBdr>
    </w:div>
    <w:div w:id="925966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817160-2672-47F9-BF36-B6889D34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36</Pages>
  <Words>4904</Words>
  <Characters>27957</Characters>
  <Application>Microsoft Office Word</Application>
  <DocSecurity>0</DocSecurity>
  <Lines>232</Lines>
  <Paragraphs>65</Paragraphs>
  <ScaleCrop>false</ScaleCrop>
  <Company>Lenovo</Company>
  <LinksUpToDate>false</LinksUpToDate>
  <CharactersWithSpaces>32796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ZH</dc:creator>
  <cp:lastModifiedBy>Yu William</cp:lastModifiedBy>
  <cp:revision>196</cp:revision>
  <cp:lastPrinted>2021-05-30T13:47:00Z</cp:lastPrinted>
  <dcterms:created xsi:type="dcterms:W3CDTF">2021-04-26T01:48:00Z</dcterms:created>
  <dcterms:modified xsi:type="dcterms:W3CDTF">2021-05-30T13:48:00Z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